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黑体" w:hAnsi="黑体" w:eastAsia="黑体" w:cs="黑体"/>
          <w:b/>
          <w:bCs/>
          <w:sz w:val="44"/>
          <w:szCs w:val="44"/>
          <w:lang w:eastAsia="zh-CN"/>
        </w:rPr>
      </w:pPr>
      <w:r>
        <w:rPr>
          <w:rFonts w:hint="eastAsia" w:ascii="黑体" w:hAnsi="黑体" w:eastAsia="黑体" w:cs="黑体"/>
          <w:b/>
          <w:bCs/>
          <w:sz w:val="44"/>
          <w:szCs w:val="44"/>
          <w:lang w:eastAsia="zh-CN"/>
        </w:rPr>
        <w:t>劳动人事争议仲裁院标准化建设经费</w:t>
      </w:r>
    </w:p>
    <w:p>
      <w:pPr>
        <w:spacing w:line="360" w:lineRule="auto"/>
        <w:ind w:left="0" w:leftChars="0" w:right="0" w:rightChars="0" w:firstLine="0" w:firstLineChars="0"/>
        <w:jc w:val="center"/>
        <w:rPr>
          <w:rFonts w:hint="eastAsia" w:ascii="黑体" w:hAnsi="黑体" w:eastAsia="黑体" w:cs="黑体"/>
          <w:sz w:val="44"/>
          <w:szCs w:val="44"/>
          <w:lang w:eastAsia="zh-CN"/>
        </w:rPr>
      </w:pPr>
      <w:r>
        <w:rPr>
          <w:rFonts w:hint="eastAsia" w:ascii="黑体" w:hAnsi="黑体" w:eastAsia="黑体" w:cs="黑体"/>
          <w:b/>
          <w:bCs/>
          <w:sz w:val="44"/>
          <w:szCs w:val="44"/>
          <w:lang w:eastAsia="zh-CN"/>
        </w:rPr>
        <w:t>项目</w:t>
      </w:r>
      <w:r>
        <w:rPr>
          <w:rFonts w:hint="eastAsia" w:ascii="黑体" w:hAnsi="黑体" w:eastAsia="黑体" w:cs="黑体"/>
          <w:b/>
          <w:bCs/>
          <w:sz w:val="44"/>
          <w:szCs w:val="44"/>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劳动人事争议仲裁院标准化建设经费项目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both"/>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劳动人事争议仲裁院是处理纠纷的实体化办案机构。根据《中华人民共和国劳动争议调解仲裁法》第五十三条之规定：劳动争议仲裁不收费。劳动争议仲裁委员会的经费由财政予以保障。</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增加公信力，及时高效处理我辖区内的劳动纠纷，人社局于2018年申请“劳动人事争议仲裁院标准化建设”专项支出预算计划（费用金额195万元），用于2019年劳动仲裁业务的开展，有效维护了当事人的合法权益，并确保我区劳动关系的和谐稳定与我区经济的健康发展。</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全省劳动人事争议仲裁院标准化建设的意见》的通知（冀人社发【2018】48号）要求和贾区长的批示，通过立项、招标、采购、建设等，建设了适应我区经济发展和劳动人事争议案件日常工作需要的标准化仲裁庭及设施。</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3" w:firstLineChars="200"/>
        <w:jc w:val="both"/>
        <w:textAlignment w:val="auto"/>
        <w:outlineLvl w:val="9"/>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560" w:lineRule="exact"/>
        <w:ind w:left="0" w:leftChars="0" w:right="0" w:rightChars="0" w:firstLine="0" w:firstLineChars="0"/>
        <w:jc w:val="both"/>
        <w:textAlignment w:val="auto"/>
        <w:outlineLvl w:val="9"/>
        <w:rPr>
          <w:rFonts w:hint="eastAsia" w:ascii="仿宋_GB2312" w:hAnsi="仿宋_GB2312" w:eastAsia="仿宋_GB2312" w:cs="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hAnsi="仿宋_GB2312" w:eastAsia="仿宋_GB2312" w:cs="仿宋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加强财政专项资金管理，强化支出责任，建立科学、合理的财政专项资金绩效评价管理体系，提高财政专项资金使用效益，我局对“</w:t>
      </w:r>
      <w:r>
        <w:rPr>
          <w:rFonts w:hint="eastAsia" w:ascii="仿宋_GB2312" w:eastAsia="仿宋_GB2312"/>
          <w:sz w:val="32"/>
          <w:szCs w:val="32"/>
          <w:lang w:eastAsia="zh-CN"/>
        </w:rPr>
        <w:t>劳动人事争议仲裁院标准化建设经费</w:t>
      </w:r>
      <w:r>
        <w:rPr>
          <w:rFonts w:hint="eastAsia" w:ascii="仿宋_GB2312" w:hAnsi="仿宋_GB2312" w:eastAsia="仿宋_GB2312" w:cs="仿宋_GB2312"/>
          <w:sz w:val="32"/>
          <w:szCs w:val="32"/>
          <w:lang w:val="en-US" w:eastAsia="zh-CN"/>
        </w:rPr>
        <w:t>”专项资金通过预算项目绩效的产出指标和效果指标进行逐项分析进行绩效评价工作。</w:t>
      </w:r>
    </w:p>
    <w:p>
      <w:pPr>
        <w:keepNext w:val="0"/>
        <w:keepLines w:val="0"/>
        <w:pageBreakBefore w:val="0"/>
        <w:widowControl w:val="0"/>
        <w:numPr>
          <w:ilvl w:val="0"/>
          <w:numId w:val="1"/>
        </w:numPr>
        <w:kinsoku/>
        <w:wordWrap/>
        <w:overflowPunct/>
        <w:topLinePunct w:val="0"/>
        <w:autoSpaceDE/>
        <w:autoSpaceDN/>
        <w:bidi w:val="0"/>
        <w:spacing w:line="560" w:lineRule="exact"/>
        <w:ind w:left="481" w:leftChars="0" w:right="0" w:rightChars="0" w:firstLine="0" w:firstLine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按照《全省劳动人事争议仲裁院标准化建设的意见》的通知（冀人社发【2018】48号）要求，分为办公区和庭审区。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经费用途分为软件和硬件用途。办公用房严格控制办公人人员和场地，并将该部分费用细化分析。庭审区域中，开庭场所、法官台、庭审椅、电脑等硬件严格按照上级要求，不超标不浪费。庭审系统根据上级业务指导部门的要求来配备。</w:t>
      </w:r>
    </w:p>
    <w:p>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color w:val="000000" w:themeColor="text1"/>
          <w:sz w:val="18"/>
          <w:szCs w:val="18"/>
          <w:vertAlign w:val="baseline"/>
          <w:lang w:val="en-US" w:eastAsia="zh-CN"/>
          <w14:textFill>
            <w14:solidFill>
              <w14:schemeClr w14:val="tx1"/>
            </w14:solidFill>
          </w14:textFill>
        </w:rPr>
      </w:pPr>
      <w:r>
        <w:rPr>
          <w:rFonts w:hint="eastAsia" w:ascii="仿宋_GB2312" w:hAnsi="仿宋_GB2312" w:eastAsia="仿宋_GB2312" w:cs="仿宋_GB2312"/>
          <w:sz w:val="32"/>
          <w:szCs w:val="32"/>
          <w:lang w:val="en-US" w:eastAsia="zh-CN"/>
        </w:rPr>
        <w:t>劳动人事争议仲裁院是各级劳动人事争议仲裁委员会实体化办事机构。劳动人事争议仲裁院标准化建设是我省实现劳动人事争议调解仲裁委员会实体化建设全覆盖后，又一重大工程，是实现依法办案的重要措施，现已纳入省级考核目标。达标的仲裁机构，应配备庭审场所不低于20平米，应有法官台、庭审椅、旁听席、档案存储柜等；除仲裁庭外还应配备，调解室、会议室、会见室等必备的场所。</w:t>
      </w:r>
    </w:p>
    <w:p>
      <w:pPr>
        <w:keepNext w:val="0"/>
        <w:keepLines w:val="0"/>
        <w:pageBreakBefore w:val="0"/>
        <w:widowControl w:val="0"/>
        <w:kinsoku/>
        <w:wordWrap/>
        <w:overflowPunct/>
        <w:topLinePunct w:val="0"/>
        <w:autoSpaceDE/>
        <w:autoSpaceDN/>
        <w:bidi w:val="0"/>
        <w:spacing w:line="560" w:lineRule="exact"/>
        <w:ind w:right="0" w:rightChars="0"/>
        <w:jc w:val="both"/>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pacing w:line="560" w:lineRule="exact"/>
        <w:ind w:right="0" w:right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val="en-US" w:eastAsia="zh-CN"/>
        </w:rPr>
        <w:t>为增加公信力，及时高效处理我辖区内的劳动纠纷，人社局于2018年申请“劳动人事争议仲裁院标准化建设”专项支出预算计划（费用金额195万元），用于2019年劳动仲裁业务的开展。</w:t>
      </w:r>
    </w:p>
    <w:p>
      <w:pPr>
        <w:keepNext w:val="0"/>
        <w:keepLines w:val="0"/>
        <w:pageBreakBefore w:val="0"/>
        <w:widowControl w:val="0"/>
        <w:kinsoku/>
        <w:wordWrap/>
        <w:overflowPunct/>
        <w:topLinePunct w:val="0"/>
        <w:autoSpaceDE/>
        <w:autoSpaceDN/>
        <w:bidi w:val="0"/>
        <w:spacing w:line="560" w:lineRule="exact"/>
        <w:ind w:right="0" w:right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2019年3月份立项，将东配楼二楼八间办公室作为标准化建设的具体地点。4月份开始招标后开始建设。现仲裁院标准化建设已完工。</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jc w:val="both"/>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仿宋_GB2312" w:eastAsia="仿宋_GB2312"/>
          <w:b w:val="0"/>
          <w:bCs w:val="0"/>
          <w:sz w:val="32"/>
          <w:szCs w:val="32"/>
          <w:lang w:val="en-US" w:eastAsia="zh-CN"/>
        </w:rPr>
        <w:t>完工后的仲裁庭，仲裁对象满意度大大提高，有效的增强了仲裁过程的公信力。2019年下半年在仲裁庭进行开庭审理仲裁案件256件，按期结案率达到95%，仲裁对象和群众满意度达到95%以上。</w:t>
      </w:r>
      <w:r>
        <w:rPr>
          <w:rFonts w:hint="eastAsia" w:ascii="楷体_GB2312" w:hAnsi="楷体_GB2312" w:eastAsia="楷体_GB2312" w:cs="楷体_GB2312"/>
          <w:b/>
          <w:bCs/>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通过仲裁院实体化建设，各项硬件和软件均已达标，</w:t>
      </w:r>
      <w:bookmarkStart w:id="0" w:name="_GoBack"/>
      <w:bookmarkEnd w:id="0"/>
      <w:r>
        <w:rPr>
          <w:rFonts w:hint="eastAsia" w:ascii="仿宋_GB2312" w:eastAsia="仿宋_GB2312"/>
          <w:b w:val="0"/>
          <w:bCs w:val="0"/>
          <w:sz w:val="32"/>
          <w:szCs w:val="32"/>
          <w:lang w:val="en-US" w:eastAsia="zh-CN"/>
        </w:rPr>
        <w:t>提高了公信力，工作效率得到提高，仲裁对象和群众反映良好。</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jc w:val="both"/>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根据2018年申请“</w:t>
      </w:r>
      <w:r>
        <w:rPr>
          <w:rFonts w:hint="eastAsia" w:ascii="仿宋_GB2312" w:eastAsia="仿宋_GB2312"/>
          <w:sz w:val="32"/>
          <w:szCs w:val="32"/>
          <w:lang w:eastAsia="zh-CN"/>
        </w:rPr>
        <w:t>劳动人事争议仲裁院标准化建设经费</w:t>
      </w:r>
      <w:r>
        <w:rPr>
          <w:rFonts w:hint="eastAsia" w:ascii="仿宋_GB2312" w:eastAsia="仿宋_GB2312"/>
          <w:b w:val="0"/>
          <w:bCs w:val="0"/>
          <w:sz w:val="32"/>
          <w:szCs w:val="32"/>
          <w:lang w:val="en-US" w:eastAsia="zh-CN"/>
        </w:rPr>
        <w:t>”专项支出预算，仲裁科认真完成2019年仲裁各项工作，根据项目执行情况和项目效果及产出情况，得出项目综合成绩为优秀</w:t>
      </w:r>
      <w:r>
        <w:rPr>
          <w:rFonts w:hint="eastAsia" w:ascii="仿宋_GB2312" w:eastAsia="仿宋_GB2312"/>
          <w:sz w:val="32"/>
          <w:szCs w:val="32"/>
          <w:lang w:eastAsia="zh-CN"/>
        </w:rPr>
        <w:t>，仲裁庭及办案场所达到省级示范仲裁庭标准。</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 w:val="0"/>
          <w:bCs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960" w:firstLineChars="3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仲裁科科长 强永红</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0" w:firstLineChars="15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2020年1月6日</w:t>
      </w:r>
    </w:p>
    <w:p>
      <w:pPr>
        <w:numPr>
          <w:ilvl w:val="0"/>
          <w:numId w:val="0"/>
        </w:numPr>
        <w:adjustRightInd w:val="0"/>
        <w:snapToGrid w:val="0"/>
        <w:spacing w:line="360" w:lineRule="auto"/>
        <w:jc w:val="right"/>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鹿泉区人力资源和社会保障局</w:t>
      </w:r>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mbria">
    <w:altName w:val="Palatino Linotype"/>
    <w:panose1 w:val="02040503050406030204"/>
    <w:charset w:val="00"/>
    <w:family w:val="roman"/>
    <w:pitch w:val="default"/>
    <w:sig w:usb0="00000000" w:usb1="00000000" w:usb2="00000000" w:usb3="00000000" w:csb0="0000019F" w:csb1="00000000"/>
  </w:font>
  <w:font w:name="Calibri">
    <w:altName w:val="Lucida Sans"/>
    <w:panose1 w:val="020F0502020204030204"/>
    <w:charset w:val="00"/>
    <w:family w:val="swiss"/>
    <w:pitch w:val="default"/>
    <w:sig w:usb0="00000000" w:usb1="00000000" w:usb2="00000001" w:usb3="00000000" w:csb0="0000019F"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altName w:val="宋体"/>
    <w:panose1 w:val="02010609060101010101"/>
    <w:charset w:val="86"/>
    <w:family w:val="auto"/>
    <w:pitch w:val="default"/>
    <w:sig w:usb0="00000000" w:usb1="00000000" w:usb2="00000016" w:usb3="00000000" w:csb0="00040001" w:csb1="00000000"/>
  </w:font>
  <w:font w:name="楷体">
    <w:altName w:val="楷体_GB2312"/>
    <w:panose1 w:val="02010609060101010101"/>
    <w:charset w:val="86"/>
    <w:family w:val="auto"/>
    <w:pitch w:val="default"/>
    <w:sig w:usb0="00000000" w:usb1="00000000" w:usb2="00000016" w:usb3="00000000" w:csb0="00040001" w:csb1="00000000"/>
  </w:font>
  <w:font w:name="Lucida Sans">
    <w:panose1 w:val="020B0602030504020204"/>
    <w:charset w:val="00"/>
    <w:family w:val="auto"/>
    <w:pitch w:val="default"/>
    <w:sig w:usb0="00000000" w:usb1="00000000" w:usb2="00000000" w:usb3="00000000" w:csb0="00000000" w:csb1="00000000"/>
  </w:font>
  <w:font w:name="Palatino Linotype">
    <w:panose1 w:val="02040502050505030304"/>
    <w:charset w:val="00"/>
    <w:family w:val="auto"/>
    <w:pitch w:val="default"/>
    <w:sig w:usb0="E0000387" w:usb1="40000013" w:usb2="00000000"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2</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2</w:t>
                    </w:r>
                    <w:r>
                      <w:rPr>
                        <w:rFonts w:hint="eastAsia"/>
                        <w:sz w:val="1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LNJWO7QAAAABQEAAA8AAAAAAAAAAQAg&#10;AAAAIgAAAGRycy9kb3ducmV2LnhtbFBLAQIUABQAAAAIAIdO4kDzzfY5wQIAANYFAAAOAAAAAAAA&#10;AAEAIAAAAB8BAABkcnMvZTJvRG9jLnhtbFBLBQYAAAAABgAGAFkBAABSBg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4EF749C"/>
    <w:multiLevelType w:val="singleLevel"/>
    <w:tmpl w:val="C4EF749C"/>
    <w:lvl w:ilvl="0" w:tentative="0">
      <w:start w:val="2"/>
      <w:numFmt w:val="chineseCounting"/>
      <w:suff w:val="nothing"/>
      <w:lvlText w:val="（%1）"/>
      <w:lvlJc w:val="left"/>
      <w:pPr>
        <w:ind w:left="481" w:leftChars="0" w:firstLine="0" w:firstLineChars="0"/>
      </w:pPr>
      <w:rPr>
        <w:rFonts w:hint="eastAsia"/>
      </w:rPr>
    </w:lvl>
  </w:abstractNum>
  <w:abstractNum w:abstractNumId="1">
    <w:nsid w:val="698F9D58"/>
    <w:multiLevelType w:val="singleLevel"/>
    <w:tmpl w:val="698F9D58"/>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C040028"/>
    <w:rsid w:val="10D42F9F"/>
    <w:rsid w:val="123455D0"/>
    <w:rsid w:val="14AD420C"/>
    <w:rsid w:val="1BB57E4B"/>
    <w:rsid w:val="24592230"/>
    <w:rsid w:val="25790469"/>
    <w:rsid w:val="26922B48"/>
    <w:rsid w:val="2A2941B7"/>
    <w:rsid w:val="2C242ED7"/>
    <w:rsid w:val="2FA02DB2"/>
    <w:rsid w:val="470161CA"/>
    <w:rsid w:val="494A685A"/>
    <w:rsid w:val="4C69046B"/>
    <w:rsid w:val="4F76018D"/>
    <w:rsid w:val="52766A47"/>
    <w:rsid w:val="58D867F1"/>
    <w:rsid w:val="63B13125"/>
    <w:rsid w:val="68A209D6"/>
    <w:rsid w:val="6B973551"/>
    <w:rsid w:val="6C5408FB"/>
    <w:rsid w:val="785B3F5D"/>
    <w:rsid w:val="7C741F8F"/>
    <w:rsid w:val="7D056775"/>
    <w:rsid w:val="7D450C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4">
    <w:name w:val="Normal (Web)"/>
    <w:basedOn w:val="1"/>
    <w:qFormat/>
    <w:uiPriority w:val="0"/>
    <w:rPr>
      <w:sz w:val="24"/>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character" w:styleId="8">
    <w:name w:val="FollowedHyperlink"/>
    <w:basedOn w:val="5"/>
    <w:qFormat/>
    <w:uiPriority w:val="0"/>
    <w:rPr>
      <w:color w:val="800080"/>
      <w:u w:val="none"/>
    </w:rPr>
  </w:style>
  <w:style w:type="character" w:styleId="9">
    <w:name w:val="Hyperlink"/>
    <w:basedOn w:val="5"/>
    <w:qFormat/>
    <w:uiPriority w:val="0"/>
    <w:rPr>
      <w:color w:val="0000FF"/>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2020-01-06T06:05:18Z</cp:lastPrinted>
  <dcterms:modified xsi:type="dcterms:W3CDTF">2020-01-06T07:39:06Z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