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华文楷体" w:eastAsia="华文楷体"/>
          <w:sz w:val="32"/>
          <w:szCs w:val="32"/>
          <w:lang w:eastAsia="zh-CN"/>
        </w:rPr>
      </w:pPr>
      <w:r>
        <w:rPr>
          <w:rFonts w:hint="eastAsia" w:ascii="宋体"/>
          <w:b/>
          <w:bCs/>
          <w:sz w:val="36"/>
          <w:szCs w:val="32"/>
        </w:rPr>
        <w:t>购置档案室相关设备</w:t>
      </w:r>
      <w:r>
        <w:rPr>
          <w:rFonts w:hint="eastAsia" w:ascii="宋体"/>
          <w:b/>
          <w:bCs/>
          <w:sz w:val="36"/>
          <w:szCs w:val="32"/>
          <w:lang w:eastAsia="zh-CN"/>
        </w:rPr>
        <w:t>项目</w:t>
      </w:r>
      <w:r>
        <w:rPr>
          <w:rFonts w:hint="eastAsia" w:ascii="宋体"/>
          <w:b/>
          <w:bCs/>
          <w:sz w:val="36"/>
          <w:szCs w:val="32"/>
        </w:rPr>
        <w:t>绩效评价报告</w:t>
      </w:r>
    </w:p>
    <w:p>
      <w:pPr>
        <w:spacing w:line="360" w:lineRule="auto"/>
        <w:ind w:left="0" w:leftChars="0" w:right="0" w:rightChars="0" w:firstLine="0" w:firstLineChars="0"/>
        <w:jc w:val="both"/>
        <w:rPr>
          <w:rFonts w:hint="eastAsia" w:ascii="华文楷体" w:eastAsia="华文楷体"/>
          <w:sz w:val="32"/>
          <w:szCs w:val="32"/>
          <w:lang w:eastAsia="zh-CN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eastAsia="zh-CN"/>
        </w:rPr>
        <w:t>购置档案室相关设备项目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adjustRightInd w:val="0"/>
        <w:snapToGrid w:val="0"/>
        <w:spacing w:line="360" w:lineRule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left="0" w:right="0" w:firstLine="640"/>
        <w:jc w:val="left"/>
        <w:rPr>
          <w:rFonts w:hint="eastAsia" w:ascii="仿宋" w:hAnsi="仿宋" w:eastAsia="仿宋" w:cs="仿宋"/>
          <w:b w:val="0"/>
          <w:i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i w:val="0"/>
          <w:sz w:val="32"/>
          <w:szCs w:val="32"/>
          <w:lang w:val="en-US" w:eastAsia="zh-CN"/>
        </w:rPr>
        <w:t>1、</w:t>
      </w:r>
      <w:r>
        <w:rPr>
          <w:rFonts w:hint="eastAsia" w:ascii="仿宋" w:hAnsi="仿宋" w:eastAsia="仿宋" w:cs="仿宋"/>
          <w:b w:val="0"/>
          <w:i w:val="0"/>
          <w:sz w:val="32"/>
          <w:szCs w:val="32"/>
          <w:lang w:eastAsia="zh-CN"/>
        </w:rPr>
        <w:t>鹿泉人才中心属于公益性质的事业单位，</w:t>
      </w:r>
      <w:r>
        <w:rPr>
          <w:rFonts w:ascii="仿宋" w:hAnsi="仿宋" w:eastAsia="仿宋" w:cs="仿宋"/>
          <w:b w:val="0"/>
          <w:i w:val="0"/>
          <w:sz w:val="32"/>
          <w:szCs w:val="32"/>
        </w:rPr>
        <w:t>主要职责是：</w:t>
      </w:r>
      <w:r>
        <w:rPr>
          <w:rFonts w:hint="eastAsia" w:ascii="仿宋" w:hAnsi="仿宋" w:eastAsia="仿宋" w:cs="仿宋"/>
          <w:b w:val="0"/>
          <w:i w:val="0"/>
          <w:sz w:val="32"/>
          <w:szCs w:val="32"/>
        </w:rPr>
        <w:t>负责管理全</w:t>
      </w:r>
      <w:r>
        <w:rPr>
          <w:rFonts w:hint="eastAsia" w:ascii="仿宋" w:hAnsi="仿宋" w:eastAsia="仿宋" w:cs="仿宋"/>
          <w:b w:val="0"/>
          <w:i w:val="0"/>
          <w:sz w:val="32"/>
          <w:szCs w:val="32"/>
          <w:lang w:eastAsia="zh-CN"/>
        </w:rPr>
        <w:t>区全日制</w:t>
      </w:r>
      <w:r>
        <w:rPr>
          <w:rFonts w:hint="eastAsia" w:ascii="仿宋" w:hAnsi="仿宋" w:eastAsia="仿宋" w:cs="仿宋"/>
          <w:b w:val="0"/>
          <w:i w:val="0"/>
          <w:sz w:val="32"/>
          <w:szCs w:val="32"/>
        </w:rPr>
        <w:t>大中专毕业生人事代理档案</w:t>
      </w:r>
      <w:r>
        <w:rPr>
          <w:rFonts w:hint="eastAsia" w:ascii="仿宋" w:hAnsi="仿宋" w:eastAsia="仿宋" w:cs="仿宋"/>
          <w:b w:val="0"/>
          <w:i w:val="0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b w:val="0"/>
          <w:i w:val="0"/>
          <w:sz w:val="32"/>
          <w:szCs w:val="32"/>
        </w:rPr>
        <w:t>负责人事代理工作，</w:t>
      </w:r>
      <w:r>
        <w:rPr>
          <w:rFonts w:hint="eastAsia" w:ascii="仿宋" w:hAnsi="仿宋" w:eastAsia="仿宋" w:cs="仿宋"/>
          <w:b w:val="0"/>
          <w:i w:val="0"/>
          <w:sz w:val="32"/>
          <w:szCs w:val="32"/>
          <w:lang w:eastAsia="zh-CN"/>
        </w:rPr>
        <w:t>流动人员的档案转递等工作，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84" w:lineRule="atLeast"/>
        <w:ind w:left="0" w:right="0" w:firstLine="640" w:firstLineChars="200"/>
        <w:jc w:val="left"/>
      </w:pPr>
      <w:r>
        <w:rPr>
          <w:rFonts w:hint="eastAsia" w:ascii="仿宋" w:hAnsi="仿宋" w:eastAsia="仿宋" w:cs="仿宋"/>
          <w:b w:val="0"/>
          <w:i w:val="0"/>
          <w:sz w:val="32"/>
          <w:szCs w:val="32"/>
          <w:lang w:val="en-US" w:eastAsia="zh-CN"/>
        </w:rPr>
        <w:t>2、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项目主要实施内容和范围：根据人社发【2014】90号文件中的第六项加强流动人员人事档案安全管理的要求，</w:t>
      </w:r>
      <w:r>
        <w:rPr>
          <w:rFonts w:ascii="仿宋_GB2312" w:hAnsi="宋体" w:eastAsia="仿宋_GB2312" w:cs="仿宋_GB2312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切实做好档案安全管理工作。要不断研究和改进档案的保管方法和保管技术，提高流动人员人事档案库房的安全防灾标准，建立健全人防、物防、技防“三位一体”的安全防范体系。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left="0" w:right="0" w:firstLine="640"/>
        <w:jc w:val="left"/>
        <w:rPr>
          <w:rFonts w:hint="eastAsia" w:ascii="仿宋" w:hAnsi="仿宋" w:eastAsia="仿宋" w:cs="仿宋"/>
          <w:b w:val="0"/>
          <w:i w:val="0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3、项目资金投入情况：</w:t>
      </w:r>
      <w:r>
        <w:rPr>
          <w:rFonts w:ascii="仿宋" w:hAnsi="仿宋" w:eastAsia="仿宋" w:cs="仿宋"/>
          <w:b w:val="0"/>
          <w:i w:val="0"/>
          <w:spacing w:val="-2"/>
          <w:sz w:val="32"/>
          <w:szCs w:val="32"/>
        </w:rPr>
        <w:t>201</w:t>
      </w:r>
      <w:r>
        <w:rPr>
          <w:rFonts w:hint="eastAsia" w:ascii="仿宋" w:hAnsi="仿宋" w:eastAsia="仿宋" w:cs="仿宋"/>
          <w:b w:val="0"/>
          <w:i w:val="0"/>
          <w:spacing w:val="-2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 w:cs="仿宋"/>
          <w:b w:val="0"/>
          <w:i w:val="0"/>
          <w:spacing w:val="-2"/>
          <w:sz w:val="32"/>
          <w:szCs w:val="32"/>
        </w:rPr>
        <w:t>年我中心整体</w:t>
      </w:r>
      <w:r>
        <w:rPr>
          <w:rFonts w:hint="eastAsia" w:ascii="仿宋" w:hAnsi="仿宋" w:eastAsia="仿宋" w:cs="仿宋"/>
          <w:b w:val="0"/>
          <w:i w:val="0"/>
          <w:spacing w:val="-2"/>
          <w:sz w:val="32"/>
          <w:szCs w:val="32"/>
          <w:lang w:eastAsia="zh-CN"/>
        </w:rPr>
        <w:t>预算</w:t>
      </w:r>
      <w:r>
        <w:rPr>
          <w:rFonts w:hint="eastAsia" w:ascii="仿宋" w:hAnsi="仿宋" w:eastAsia="仿宋" w:cs="仿宋"/>
          <w:b w:val="0"/>
          <w:i w:val="0"/>
          <w:spacing w:val="-2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b w:val="0"/>
          <w:i w:val="0"/>
          <w:spacing w:val="-2"/>
          <w:sz w:val="32"/>
          <w:szCs w:val="32"/>
        </w:rPr>
        <w:t>万元，</w:t>
      </w:r>
      <w:r>
        <w:rPr>
          <w:rFonts w:hint="eastAsia" w:ascii="仿宋" w:hAnsi="仿宋" w:eastAsia="仿宋" w:cs="仿宋"/>
          <w:b w:val="0"/>
          <w:i w:val="0"/>
          <w:color w:val="000000"/>
          <w:sz w:val="32"/>
          <w:szCs w:val="32"/>
          <w:lang w:eastAsia="zh-CN"/>
        </w:rPr>
        <w:t>档案室设备安装</w:t>
      </w:r>
      <w:r>
        <w:rPr>
          <w:rFonts w:hint="eastAsia" w:ascii="仿宋" w:hAnsi="仿宋" w:eastAsia="仿宋" w:cs="仿宋"/>
          <w:b w:val="0"/>
          <w:i w:val="0"/>
          <w:color w:val="000000"/>
          <w:sz w:val="32"/>
          <w:szCs w:val="32"/>
          <w:lang w:val="en-US" w:eastAsia="zh-CN"/>
        </w:rPr>
        <w:t>21200元 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本项目资金来源为财政拨款。</w:t>
      </w:r>
      <w:r>
        <w:rPr>
          <w:rFonts w:hint="eastAsia" w:ascii="仿宋" w:hAnsi="仿宋" w:eastAsia="仿宋" w:cs="仿宋"/>
          <w:b w:val="0"/>
          <w:i w:val="0"/>
          <w:sz w:val="32"/>
          <w:szCs w:val="32"/>
        </w:rPr>
        <w:t>我中心对资金的使用进</w:t>
      </w:r>
      <w:bookmarkStart w:id="0" w:name="_GoBack"/>
      <w:bookmarkEnd w:id="0"/>
      <w:r>
        <w:rPr>
          <w:rFonts w:hint="eastAsia" w:ascii="仿宋" w:hAnsi="仿宋" w:eastAsia="仿宋" w:cs="仿宋"/>
          <w:b w:val="0"/>
          <w:i w:val="0"/>
          <w:sz w:val="32"/>
          <w:szCs w:val="32"/>
        </w:rPr>
        <w:t>行合理有效的管理，本年度支出与预算一致。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right="0" w:firstLine="640" w:firstLineChars="200"/>
        <w:jc w:val="left"/>
        <w:rPr>
          <w:rFonts w:hint="eastAsia" w:ascii="黑体" w:hAnsi="黑体" w:eastAsia="黑体" w:cstheme="minorBidi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theme="minorBidi"/>
          <w:b w:val="0"/>
          <w:bCs w:val="0"/>
          <w:kern w:val="2"/>
          <w:sz w:val="32"/>
          <w:szCs w:val="32"/>
          <w:lang w:val="en-US" w:eastAsia="zh-CN" w:bidi="ar-SA"/>
        </w:rPr>
        <w:t>二、绩效评价的原则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left="0" w:right="0" w:firstLine="640"/>
        <w:jc w:val="left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1. 绩效评价的原则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left="0" w:right="0" w:firstLine="640"/>
        <w:jc w:val="left"/>
        <w:rPr>
          <w:rFonts w:hint="eastAsia" w:ascii="仿宋_GB2312" w:eastAsia="仿宋_GB2312"/>
          <w:sz w:val="32"/>
          <w:szCs w:val="32"/>
          <w:lang w:val="en-US" w:eastAsia="zh-CN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left="0" w:right="0" w:firstLine="640"/>
        <w:jc w:val="left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      (1)科学规范。绩效评价注重财政支出的经济性、效率性和有效性，严格执行规定的程序，采用定量与定性分析相结合的方法。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right="0" w:firstLine="960" w:firstLineChars="300"/>
        <w:jc w:val="left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   (2)绩效相关。绩效评价针对具体支出及其产出绩效进行评价,结果清晰反映支出和产出绩效之间的紧密对应关系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right="0" w:firstLine="640" w:firstLineChars="200"/>
        <w:jc w:val="left"/>
        <w:rPr>
          <w:rFonts w:hint="eastAsia" w:ascii="黑体" w:hAnsi="黑体" w:eastAsia="黑体" w:cstheme="minorBidi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theme="minorBidi"/>
          <w:b w:val="0"/>
          <w:bCs w:val="0"/>
          <w:kern w:val="2"/>
          <w:sz w:val="32"/>
          <w:szCs w:val="32"/>
          <w:lang w:val="en-US" w:eastAsia="zh-CN" w:bidi="ar-SA"/>
        </w:rPr>
        <w:t>三、部门整体支出绩效情况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left="0" w:right="0" w:firstLine="640"/>
        <w:jc w:val="left"/>
        <w:rPr>
          <w:rFonts w:hint="eastAsia" w:ascii="微软雅黑" w:hAnsi="微软雅黑" w:eastAsia="微软雅黑" w:cs="微软雅黑"/>
          <w:b w:val="0"/>
          <w:i w:val="0"/>
        </w:rPr>
      </w:pPr>
      <w:r>
        <w:rPr>
          <w:rFonts w:hint="eastAsia" w:ascii="仿宋" w:hAnsi="仿宋" w:eastAsia="仿宋" w:cs="仿宋"/>
          <w:b w:val="0"/>
          <w:i w:val="0"/>
          <w:sz w:val="32"/>
          <w:szCs w:val="32"/>
        </w:rPr>
        <w:t>20</w:t>
      </w:r>
      <w:r>
        <w:rPr>
          <w:rFonts w:hint="eastAsia" w:ascii="仿宋" w:hAnsi="仿宋" w:eastAsia="仿宋" w:cs="仿宋"/>
          <w:b w:val="0"/>
          <w:i w:val="0"/>
          <w:sz w:val="32"/>
          <w:szCs w:val="32"/>
          <w:lang w:val="en-US" w:eastAsia="zh-CN"/>
        </w:rPr>
        <w:t>19</w:t>
      </w:r>
      <w:r>
        <w:rPr>
          <w:rFonts w:hint="eastAsia" w:ascii="仿宋" w:hAnsi="仿宋" w:eastAsia="仿宋" w:cs="仿宋"/>
          <w:b w:val="0"/>
          <w:i w:val="0"/>
          <w:sz w:val="32"/>
          <w:szCs w:val="32"/>
        </w:rPr>
        <w:t>年，我中心通过加强预算收支的管理，不断建立健全内部管理制度，理顺内部管理流程，部门整体支出管理情况得到了提升。部门整体支出绩效情况如下：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left="0" w:right="0" w:firstLine="640"/>
        <w:jc w:val="left"/>
        <w:rPr>
          <w:rFonts w:hint="eastAsia" w:ascii="微软雅黑" w:hAnsi="微软雅黑" w:eastAsia="微软雅黑" w:cs="微软雅黑"/>
          <w:b w:val="0"/>
          <w:i w:val="0"/>
        </w:rPr>
      </w:pPr>
      <w:r>
        <w:rPr>
          <w:rFonts w:hint="eastAsia" w:ascii="仿宋" w:hAnsi="仿宋" w:eastAsia="仿宋" w:cs="仿宋"/>
          <w:b w:val="0"/>
          <w:i w:val="0"/>
          <w:sz w:val="32"/>
          <w:szCs w:val="32"/>
        </w:rPr>
        <w:t>（</w:t>
      </w:r>
      <w:r>
        <w:rPr>
          <w:rFonts w:hint="eastAsia" w:ascii="仿宋" w:hAnsi="仿宋" w:eastAsia="仿宋" w:cs="仿宋"/>
          <w:b w:val="0"/>
          <w:i w:val="0"/>
          <w:sz w:val="32"/>
          <w:szCs w:val="32"/>
          <w:lang w:eastAsia="zh-CN"/>
        </w:rPr>
        <w:t>一</w:t>
      </w:r>
      <w:r>
        <w:rPr>
          <w:rFonts w:hint="eastAsia" w:ascii="仿宋" w:hAnsi="仿宋" w:eastAsia="仿宋" w:cs="仿宋"/>
          <w:b w:val="0"/>
          <w:i w:val="0"/>
          <w:sz w:val="32"/>
          <w:szCs w:val="32"/>
        </w:rPr>
        <w:t>）效能评价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left="0" w:right="0" w:firstLine="640"/>
        <w:jc w:val="left"/>
        <w:rPr>
          <w:rFonts w:hint="eastAsia" w:ascii="微软雅黑" w:hAnsi="微软雅黑" w:eastAsia="微软雅黑" w:cs="微软雅黑"/>
          <w:b w:val="0"/>
          <w:i w:val="0"/>
        </w:rPr>
      </w:pPr>
      <w:r>
        <w:rPr>
          <w:rFonts w:hint="eastAsia" w:ascii="仿宋" w:hAnsi="仿宋" w:eastAsia="仿宋" w:cs="仿宋"/>
          <w:b w:val="0"/>
          <w:i w:val="0"/>
          <w:sz w:val="32"/>
          <w:szCs w:val="32"/>
        </w:rPr>
        <w:t>为强化部门整体支出，加强国有资产管理，提高资金使用效益，提升财务管理，建立节约型单位，201</w:t>
      </w:r>
      <w:r>
        <w:rPr>
          <w:rFonts w:hint="eastAsia" w:ascii="仿宋" w:hAnsi="仿宋" w:eastAsia="仿宋" w:cs="仿宋"/>
          <w:b w:val="0"/>
          <w:i w:val="0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 w:cs="仿宋"/>
          <w:b w:val="0"/>
          <w:i w:val="0"/>
          <w:sz w:val="32"/>
          <w:szCs w:val="32"/>
        </w:rPr>
        <w:t>年在强化业务管理、财务管理和厉行节约方面开展了大量工作，行政效能显著。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left="0" w:right="0" w:firstLine="640"/>
        <w:jc w:val="left"/>
        <w:rPr>
          <w:rFonts w:hint="eastAsia" w:ascii="微软雅黑" w:hAnsi="微软雅黑" w:eastAsia="微软雅黑" w:cs="微软雅黑"/>
          <w:b w:val="0"/>
          <w:i w:val="0"/>
        </w:rPr>
      </w:pPr>
      <w:r>
        <w:rPr>
          <w:rFonts w:hint="eastAsia" w:ascii="仿宋" w:hAnsi="仿宋" w:eastAsia="仿宋" w:cs="仿宋"/>
          <w:b w:val="0"/>
          <w:i w:val="0"/>
          <w:sz w:val="32"/>
          <w:szCs w:val="32"/>
        </w:rPr>
        <w:t>1、在原有相对健全的财务管理制度基础上，适时地、针对性的进行了相关制度的增补，制度的建立更为完善。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left="0" w:right="0" w:firstLine="640"/>
        <w:jc w:val="left"/>
        <w:rPr>
          <w:rFonts w:hint="eastAsia" w:ascii="微软雅黑" w:hAnsi="微软雅黑" w:eastAsia="微软雅黑" w:cs="微软雅黑"/>
          <w:b w:val="0"/>
          <w:i w:val="0"/>
        </w:rPr>
      </w:pPr>
      <w:r>
        <w:rPr>
          <w:rFonts w:hint="eastAsia" w:ascii="仿宋" w:hAnsi="仿宋" w:eastAsia="仿宋" w:cs="仿宋"/>
          <w:b w:val="0"/>
          <w:i w:val="0"/>
          <w:sz w:val="32"/>
          <w:szCs w:val="32"/>
        </w:rPr>
        <w:t>2、重视制度的学习和宣讲工作，并已逐步形成了崇尚厉行节约反对浪费的文化。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left="0" w:right="0" w:firstLine="640"/>
        <w:jc w:val="left"/>
        <w:rPr>
          <w:rFonts w:hint="eastAsia" w:ascii="微软雅黑" w:hAnsi="微软雅黑" w:eastAsia="微软雅黑" w:cs="微软雅黑"/>
          <w:b w:val="0"/>
          <w:i w:val="0"/>
        </w:rPr>
      </w:pPr>
      <w:r>
        <w:rPr>
          <w:rFonts w:hint="eastAsia" w:ascii="仿宋" w:hAnsi="仿宋" w:eastAsia="仿宋" w:cs="仿宋"/>
          <w:b w:val="0"/>
          <w:i w:val="0"/>
          <w:sz w:val="32"/>
          <w:szCs w:val="32"/>
        </w:rPr>
        <w:t>（</w:t>
      </w:r>
      <w:r>
        <w:rPr>
          <w:rFonts w:hint="eastAsia" w:ascii="仿宋" w:hAnsi="仿宋" w:eastAsia="仿宋" w:cs="仿宋"/>
          <w:b w:val="0"/>
          <w:i w:val="0"/>
          <w:sz w:val="32"/>
          <w:szCs w:val="32"/>
          <w:lang w:eastAsia="zh-CN"/>
        </w:rPr>
        <w:t>二</w:t>
      </w:r>
      <w:r>
        <w:rPr>
          <w:rFonts w:hint="eastAsia" w:ascii="仿宋" w:hAnsi="仿宋" w:eastAsia="仿宋" w:cs="仿宋"/>
          <w:b w:val="0"/>
          <w:i w:val="0"/>
          <w:sz w:val="32"/>
          <w:szCs w:val="32"/>
        </w:rPr>
        <w:t>）社会公众满意度评价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left="0" w:right="0" w:firstLine="640"/>
        <w:jc w:val="left"/>
        <w:rPr>
          <w:rFonts w:hint="eastAsia" w:ascii="仿宋" w:hAnsi="仿宋" w:eastAsia="仿宋" w:cs="仿宋"/>
          <w:b w:val="0"/>
          <w:i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sz w:val="32"/>
          <w:szCs w:val="32"/>
        </w:rPr>
        <w:t>整体工作的开展，社会公众的就业意识得到加强，社会的就业得到保障，社会公众的满意度得到了提高，超过95%。</w:t>
      </w:r>
    </w:p>
    <w:p>
      <w:pPr>
        <w:numPr>
          <w:ilvl w:val="0"/>
          <w:numId w:val="0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left="0" w:right="0" w:firstLine="640"/>
        <w:jc w:val="left"/>
        <w:rPr>
          <w:rFonts w:hint="eastAsia" w:ascii="仿宋" w:hAnsi="仿宋" w:eastAsia="仿宋_GB2312" w:cs="仿宋"/>
          <w:b w:val="0"/>
          <w:i w:val="0"/>
          <w:sz w:val="32"/>
          <w:szCs w:val="32"/>
          <w:lang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严格按照相关规定组织实施，项目完成情况好，取得了良好的社会效益，人民群众十分满意。自评分为</w:t>
      </w:r>
      <w:r>
        <w:rPr>
          <w:rFonts w:hint="default" w:ascii="Arial" w:hAnsi="Arial" w:eastAsia="仿宋_GB2312" w:cs="Arial"/>
          <w:sz w:val="32"/>
          <w:szCs w:val="32"/>
        </w:rPr>
        <w:t>≥</w:t>
      </w:r>
      <w:r>
        <w:rPr>
          <w:rFonts w:hint="eastAsia" w:ascii="仿宋_GB2312" w:eastAsia="仿宋_GB2312"/>
          <w:sz w:val="32"/>
          <w:szCs w:val="32"/>
        </w:rPr>
        <w:t>85</w:t>
      </w:r>
      <w:r>
        <w:rPr>
          <w:rFonts w:hint="eastAsia" w:ascii="仿宋_GB2312" w:eastAsia="仿宋_GB2312"/>
          <w:sz w:val="32"/>
          <w:szCs w:val="32"/>
          <w:lang w:eastAsia="zh-CN"/>
        </w:rPr>
        <w:t>的评</w:t>
      </w:r>
      <w:r>
        <w:rPr>
          <w:rFonts w:hint="eastAsia" w:ascii="仿宋_GB2312" w:eastAsia="仿宋_GB2312"/>
          <w:sz w:val="32"/>
          <w:szCs w:val="32"/>
        </w:rPr>
        <w:t>分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left="0" w:right="0" w:firstLine="640"/>
        <w:jc w:val="left"/>
        <w:rPr>
          <w:rFonts w:hint="default" w:ascii="仿宋_GB2312" w:eastAsia="仿宋_GB2312"/>
          <w:sz w:val="32"/>
          <w:szCs w:val="32"/>
          <w:lang w:val="en-US" w:eastAsia="zh-CN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left="0" w:right="0" w:firstLine="640"/>
        <w:jc w:val="left"/>
        <w:rPr>
          <w:rFonts w:hint="eastAsia" w:ascii="仿宋" w:hAnsi="仿宋" w:eastAsia="仿宋" w:cs="仿宋"/>
          <w:b w:val="0"/>
          <w:i w:val="0"/>
          <w:sz w:val="32"/>
          <w:szCs w:val="32"/>
          <w:lang w:eastAsia="zh-CN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Consolas">
    <w:panose1 w:val="020B0609020204030204"/>
    <w:charset w:val="00"/>
    <w:family w:val="auto"/>
    <w:pitch w:val="default"/>
    <w:sig w:usb0="E10002FF" w:usb1="4000FCFF" w:usb2="00000009" w:usb3="00000000" w:csb0="6000019F" w:csb1="DFD7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F511281"/>
    <w:rsid w:val="002C133A"/>
    <w:rsid w:val="0085502D"/>
    <w:rsid w:val="00D26B21"/>
    <w:rsid w:val="03674D8E"/>
    <w:rsid w:val="044378DA"/>
    <w:rsid w:val="0469484D"/>
    <w:rsid w:val="04D760BF"/>
    <w:rsid w:val="04F14F1D"/>
    <w:rsid w:val="05482900"/>
    <w:rsid w:val="082001ED"/>
    <w:rsid w:val="0AF71548"/>
    <w:rsid w:val="0B3D541F"/>
    <w:rsid w:val="0BB87944"/>
    <w:rsid w:val="0BC04777"/>
    <w:rsid w:val="0CD22E62"/>
    <w:rsid w:val="0EB13F21"/>
    <w:rsid w:val="0F267696"/>
    <w:rsid w:val="0FF245B8"/>
    <w:rsid w:val="121725FB"/>
    <w:rsid w:val="12A65F1F"/>
    <w:rsid w:val="12E25960"/>
    <w:rsid w:val="12FC5592"/>
    <w:rsid w:val="145747C6"/>
    <w:rsid w:val="15945EED"/>
    <w:rsid w:val="17BF5DD2"/>
    <w:rsid w:val="19A57D02"/>
    <w:rsid w:val="1A5200AE"/>
    <w:rsid w:val="1A797674"/>
    <w:rsid w:val="1DD72596"/>
    <w:rsid w:val="1FDF267B"/>
    <w:rsid w:val="2025446D"/>
    <w:rsid w:val="2295286F"/>
    <w:rsid w:val="24A204CF"/>
    <w:rsid w:val="26424E88"/>
    <w:rsid w:val="27C15E6F"/>
    <w:rsid w:val="281E4568"/>
    <w:rsid w:val="28F91E31"/>
    <w:rsid w:val="29344926"/>
    <w:rsid w:val="294F462B"/>
    <w:rsid w:val="2A1E02B1"/>
    <w:rsid w:val="2A574F92"/>
    <w:rsid w:val="2BF70A15"/>
    <w:rsid w:val="2CA81905"/>
    <w:rsid w:val="2D4237BF"/>
    <w:rsid w:val="2D465A18"/>
    <w:rsid w:val="2DF3716C"/>
    <w:rsid w:val="2F18604F"/>
    <w:rsid w:val="2FE705CA"/>
    <w:rsid w:val="31781FBF"/>
    <w:rsid w:val="34A0036D"/>
    <w:rsid w:val="34E30CA0"/>
    <w:rsid w:val="368C14ED"/>
    <w:rsid w:val="372E1D56"/>
    <w:rsid w:val="377F11DD"/>
    <w:rsid w:val="380C3E97"/>
    <w:rsid w:val="38354A2A"/>
    <w:rsid w:val="3A866088"/>
    <w:rsid w:val="45EE3A7C"/>
    <w:rsid w:val="45F26AA1"/>
    <w:rsid w:val="4673652C"/>
    <w:rsid w:val="467623C7"/>
    <w:rsid w:val="48F71187"/>
    <w:rsid w:val="49845E53"/>
    <w:rsid w:val="4ABD0EB9"/>
    <w:rsid w:val="4CB37EEC"/>
    <w:rsid w:val="4E04260D"/>
    <w:rsid w:val="4F127474"/>
    <w:rsid w:val="4FA6169E"/>
    <w:rsid w:val="508F5D34"/>
    <w:rsid w:val="517F60D4"/>
    <w:rsid w:val="51B740BB"/>
    <w:rsid w:val="52BD4C09"/>
    <w:rsid w:val="532507CE"/>
    <w:rsid w:val="54D57418"/>
    <w:rsid w:val="55D96B96"/>
    <w:rsid w:val="575B2C9B"/>
    <w:rsid w:val="578135C2"/>
    <w:rsid w:val="57974727"/>
    <w:rsid w:val="579F29CC"/>
    <w:rsid w:val="59EA48D8"/>
    <w:rsid w:val="5A225C1C"/>
    <w:rsid w:val="5A6F2D6B"/>
    <w:rsid w:val="5C8A7966"/>
    <w:rsid w:val="5D095BDA"/>
    <w:rsid w:val="5D453E3F"/>
    <w:rsid w:val="5D5F1FCB"/>
    <w:rsid w:val="5DA5121B"/>
    <w:rsid w:val="5FB60257"/>
    <w:rsid w:val="60445A6C"/>
    <w:rsid w:val="617D0F4A"/>
    <w:rsid w:val="62E37EC0"/>
    <w:rsid w:val="64B52B95"/>
    <w:rsid w:val="65A72D96"/>
    <w:rsid w:val="65D1262A"/>
    <w:rsid w:val="66D347E4"/>
    <w:rsid w:val="67245A5E"/>
    <w:rsid w:val="67BD5A6B"/>
    <w:rsid w:val="6A7C6B4B"/>
    <w:rsid w:val="6D29017D"/>
    <w:rsid w:val="6F511281"/>
    <w:rsid w:val="6F6B4A79"/>
    <w:rsid w:val="72E714A5"/>
    <w:rsid w:val="75675812"/>
    <w:rsid w:val="75C777FF"/>
    <w:rsid w:val="760B2E5B"/>
    <w:rsid w:val="7665029E"/>
    <w:rsid w:val="76FA7A5F"/>
    <w:rsid w:val="7BC820FC"/>
    <w:rsid w:val="7D73283F"/>
    <w:rsid w:val="7DFD6056"/>
    <w:rsid w:val="7E3C3591"/>
    <w:rsid w:val="7F020A1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qFormat="1"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qFormat="1" w:unhideWhenUsed="0" w:uiPriority="0" w:semiHidden="0" w:name="HTML Keyboard"/>
    <w:lsdException w:unhideWhenUsed="0" w:uiPriority="0" w:semiHidden="0" w:name="HTML Preformatted"/>
    <w:lsdException w:qFormat="1" w:unhideWhenUsed="0" w:uiPriority="0" w:semiHidden="0" w:name="HTML Sample"/>
    <w:lsdException w:unhideWhenUsed="0" w:uiPriority="0" w:semiHidden="0" w:name="HTML Typewriter"/>
    <w:lsdException w:qFormat="1"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rFonts w:hint="eastAsia" w:ascii="微软雅黑" w:hAnsi="微软雅黑" w:eastAsia="微软雅黑" w:cs="微软雅黑"/>
      <w:b/>
      <w:color w:val="333333"/>
      <w:kern w:val="0"/>
      <w:sz w:val="24"/>
      <w:szCs w:val="24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0" w:beforeAutospacing="0" w:after="120" w:afterAutospacing="0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FollowedHyperlink"/>
    <w:basedOn w:val="5"/>
    <w:qFormat/>
    <w:uiPriority w:val="0"/>
    <w:rPr>
      <w:color w:val="333333"/>
      <w:u w:val="none"/>
    </w:rPr>
  </w:style>
  <w:style w:type="character" w:styleId="8">
    <w:name w:val="Emphasis"/>
    <w:basedOn w:val="5"/>
    <w:qFormat/>
    <w:uiPriority w:val="0"/>
    <w:rPr>
      <w:rFonts w:ascii="微软雅黑" w:hAnsi="微软雅黑" w:eastAsia="微软雅黑" w:cs="微软雅黑"/>
    </w:rPr>
  </w:style>
  <w:style w:type="character" w:styleId="9">
    <w:name w:val="HTML Definition"/>
    <w:basedOn w:val="5"/>
    <w:qFormat/>
    <w:uiPriority w:val="0"/>
  </w:style>
  <w:style w:type="character" w:styleId="10">
    <w:name w:val="HTML Acronym"/>
    <w:basedOn w:val="5"/>
    <w:qFormat/>
    <w:uiPriority w:val="0"/>
  </w:style>
  <w:style w:type="character" w:styleId="11">
    <w:name w:val="HTML Variable"/>
    <w:basedOn w:val="5"/>
    <w:qFormat/>
    <w:uiPriority w:val="0"/>
  </w:style>
  <w:style w:type="character" w:styleId="12">
    <w:name w:val="Hyperlink"/>
    <w:basedOn w:val="5"/>
    <w:qFormat/>
    <w:uiPriority w:val="0"/>
    <w:rPr>
      <w:color w:val="333333"/>
      <w:u w:val="none"/>
    </w:rPr>
  </w:style>
  <w:style w:type="character" w:styleId="13">
    <w:name w:val="HTML Code"/>
    <w:basedOn w:val="5"/>
    <w:qFormat/>
    <w:uiPriority w:val="0"/>
    <w:rPr>
      <w:rFonts w:ascii="微软雅黑" w:hAnsi="微软雅黑" w:eastAsia="微软雅黑" w:cs="微软雅黑"/>
      <w:color w:val="333333"/>
      <w:sz w:val="16"/>
      <w:szCs w:val="16"/>
    </w:rPr>
  </w:style>
  <w:style w:type="character" w:styleId="14">
    <w:name w:val="HTML Cite"/>
    <w:basedOn w:val="5"/>
    <w:qFormat/>
    <w:uiPriority w:val="0"/>
  </w:style>
  <w:style w:type="character" w:styleId="15">
    <w:name w:val="HTML Keyboard"/>
    <w:basedOn w:val="5"/>
    <w:qFormat/>
    <w:uiPriority w:val="0"/>
    <w:rPr>
      <w:rFonts w:hint="default" w:ascii="Consolas" w:hAnsi="Consolas" w:eastAsia="Consolas" w:cs="Consolas"/>
      <w:color w:val="FFFFFF"/>
      <w:sz w:val="21"/>
      <w:szCs w:val="21"/>
      <w:shd w:val="clear" w:fill="333333"/>
    </w:rPr>
  </w:style>
  <w:style w:type="character" w:styleId="16">
    <w:name w:val="HTML Sample"/>
    <w:basedOn w:val="5"/>
    <w:qFormat/>
    <w:uiPriority w:val="0"/>
    <w:rPr>
      <w:rFonts w:hint="default" w:ascii="Consolas" w:hAnsi="Consolas" w:eastAsia="Consolas" w:cs="Consolas"/>
      <w:sz w:val="21"/>
      <w:szCs w:val="21"/>
    </w:rPr>
  </w:style>
  <w:style w:type="character" w:customStyle="1" w:styleId="17">
    <w:name w:val="after"/>
    <w:basedOn w:val="5"/>
    <w:qFormat/>
    <w:uiPriority w:val="0"/>
    <w:rPr>
      <w:shd w:val="clear" w:fill="FFFFFF"/>
    </w:rPr>
  </w:style>
  <w:style w:type="character" w:customStyle="1" w:styleId="18">
    <w:name w:val="last"/>
    <w:basedOn w:val="5"/>
    <w:qFormat/>
    <w:uiPriority w:val="0"/>
  </w:style>
  <w:style w:type="character" w:customStyle="1" w:styleId="19">
    <w:name w:val="text"/>
    <w:basedOn w:val="5"/>
    <w:qFormat/>
    <w:uiPriority w:val="0"/>
    <w:rPr>
      <w:color w:val="666666"/>
    </w:rPr>
  </w:style>
  <w:style w:type="character" w:customStyle="1" w:styleId="20">
    <w:name w:val="wx-space"/>
    <w:basedOn w:val="5"/>
    <w:qFormat/>
    <w:uiPriority w:val="0"/>
  </w:style>
  <w:style w:type="character" w:customStyle="1" w:styleId="21">
    <w:name w:val="hover20"/>
    <w:basedOn w:val="5"/>
    <w:qFormat/>
    <w:uiPriority w:val="0"/>
    <w:rPr>
      <w:color w:val="000000"/>
      <w:shd w:val="clear" w:fill="FFFFFF"/>
    </w:rPr>
  </w:style>
  <w:style w:type="character" w:customStyle="1" w:styleId="22">
    <w:name w:val="wx-space1"/>
    <w:basedOn w:val="5"/>
    <w:qFormat/>
    <w:uiPriority w:val="0"/>
  </w:style>
  <w:style w:type="character" w:customStyle="1" w:styleId="23">
    <w:name w:val="more"/>
    <w:basedOn w:val="5"/>
    <w:qFormat/>
    <w:uiPriority w:val="0"/>
  </w:style>
  <w:style w:type="character" w:customStyle="1" w:styleId="24">
    <w:name w:val="more1"/>
    <w:basedOn w:val="5"/>
    <w:qFormat/>
    <w:uiPriority w:val="0"/>
  </w:style>
  <w:style w:type="character" w:customStyle="1" w:styleId="25">
    <w:name w:val="more2"/>
    <w:basedOn w:val="5"/>
    <w:qFormat/>
    <w:uiPriority w:val="0"/>
  </w:style>
  <w:style w:type="character" w:customStyle="1" w:styleId="26">
    <w:name w:val="more3"/>
    <w:basedOn w:val="5"/>
    <w:qFormat/>
    <w:uiPriority w:val="0"/>
  </w:style>
  <w:style w:type="character" w:customStyle="1" w:styleId="27">
    <w:name w:val="more4"/>
    <w:basedOn w:val="5"/>
    <w:qFormat/>
    <w:uiPriority w:val="0"/>
  </w:style>
  <w:style w:type="character" w:customStyle="1" w:styleId="28">
    <w:name w:val="more5"/>
    <w:basedOn w:val="5"/>
    <w:qFormat/>
    <w:uiPriority w:val="0"/>
  </w:style>
  <w:style w:type="character" w:customStyle="1" w:styleId="29">
    <w:name w:val="more6"/>
    <w:basedOn w:val="5"/>
    <w:qFormat/>
    <w:uiPriority w:val="0"/>
  </w:style>
  <w:style w:type="character" w:customStyle="1" w:styleId="30">
    <w:name w:val="more7"/>
    <w:basedOn w:val="5"/>
    <w:qFormat/>
    <w:uiPriority w:val="0"/>
  </w:style>
  <w:style w:type="character" w:customStyle="1" w:styleId="31">
    <w:name w:val="hover19"/>
    <w:basedOn w:val="5"/>
    <w:qFormat/>
    <w:uiPriority w:val="0"/>
    <w:rPr>
      <w:shd w:val="clear" w:fill="E1E1E1"/>
    </w:rPr>
  </w:style>
  <w:style w:type="character" w:customStyle="1" w:styleId="32">
    <w:name w:val="site-nav1span2"/>
    <w:basedOn w:val="5"/>
    <w:qFormat/>
    <w:uiPriority w:val="0"/>
  </w:style>
  <w:style w:type="character" w:customStyle="1" w:styleId="33">
    <w:name w:val="site-nav1span1"/>
    <w:basedOn w:val="5"/>
    <w:qFormat/>
    <w:uiPriority w:val="0"/>
  </w:style>
  <w:style w:type="character" w:customStyle="1" w:styleId="34">
    <w:name w:val="class1"/>
    <w:basedOn w:val="5"/>
    <w:qFormat/>
    <w:uiPriority w:val="0"/>
    <w:rPr>
      <w:color w:val="FFFFFF"/>
      <w:shd w:val="clear" w:fill="066CB9"/>
    </w:rPr>
  </w:style>
  <w:style w:type="character" w:customStyle="1" w:styleId="35">
    <w:name w:val="classnoe"/>
    <w:basedOn w:val="5"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Office_11.1.0.9305_F1E327BC-269C-435d-A152-05C5408002CA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2020-01-06T01:19:00Z</dcterms:created>
  <dc:creator>Administrator</dc:creator>
  <cp:lastModifiedBy>Administrator</cp:lastModifiedBy>
  <dcterms:modified xsi:type="dcterms:W3CDTF">2020-01-06T03:05:03Z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2052-11.1.0.9305</vt:lpwstr>
  </property>
</Properties>
</file>