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pacing w:line="360" w:lineRule="auto"/>
        <w:rPr>
          <w:rFonts w:ascii="黑体" w:hAnsi="黑体" w:eastAsia="黑体" w:cs="黑体"/>
          <w:sz w:val="32"/>
          <w:szCs w:val="32"/>
        </w:rPr>
      </w:pPr>
    </w:p>
    <w:p>
      <w:pPr>
        <w:spacing w:line="360" w:lineRule="auto"/>
        <w:jc w:val="center"/>
        <w:rPr>
          <w:rFonts w:ascii="黑体" w:hAnsi="黑体" w:eastAsia="黑体" w:cs="黑体"/>
          <w:b/>
          <w:bCs/>
          <w:sz w:val="32"/>
          <w:szCs w:val="32"/>
        </w:rPr>
      </w:pPr>
    </w:p>
    <w:p>
      <w:pPr>
        <w:spacing w:line="360" w:lineRule="auto"/>
        <w:jc w:val="center"/>
        <w:rPr>
          <w:rFonts w:ascii="华文楷体" w:eastAsia="华文楷体"/>
          <w:sz w:val="44"/>
          <w:szCs w:val="44"/>
        </w:rPr>
      </w:pPr>
      <w:r>
        <w:rPr>
          <w:rFonts w:hint="eastAsia" w:ascii="宋体"/>
          <w:b/>
          <w:bCs/>
          <w:sz w:val="44"/>
          <w:szCs w:val="44"/>
        </w:rPr>
        <w:t>国有资产评估费项目绩效评价报告</w:t>
      </w:r>
    </w:p>
    <w:p>
      <w:pPr>
        <w:spacing w:line="360" w:lineRule="auto"/>
        <w:jc w:val="center"/>
        <w:rPr>
          <w:rFonts w:ascii="仿宋" w:hAnsi="仿宋" w:eastAsia="仿宋" w:cs="仿宋"/>
          <w:sz w:val="32"/>
          <w:szCs w:val="32"/>
        </w:rPr>
      </w:pP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根据《石家庄市鹿泉区区级部门预算绩效管理办法》（鹿财字</w:t>
      </w:r>
      <w:r>
        <w:rPr>
          <w:rFonts w:ascii="仿宋_GB2312" w:eastAsia="仿宋_GB2312"/>
          <w:sz w:val="32"/>
          <w:szCs w:val="32"/>
        </w:rPr>
        <w:t>[2019]65</w:t>
      </w:r>
      <w:r>
        <w:rPr>
          <w:rFonts w:hint="eastAsia" w:ascii="仿宋_GB2312" w:eastAsia="仿宋_GB2312"/>
          <w:sz w:val="32"/>
          <w:szCs w:val="32"/>
        </w:rPr>
        <w:t>号），遵循“科学性、规范性、客观性和公正性”的原则，对</w:t>
      </w:r>
      <w:r>
        <w:rPr>
          <w:rFonts w:ascii="仿宋_GB2312" w:eastAsia="仿宋_GB2312"/>
          <w:sz w:val="32"/>
          <w:szCs w:val="32"/>
        </w:rPr>
        <w:t>2019</w:t>
      </w:r>
      <w:r>
        <w:rPr>
          <w:rFonts w:hint="eastAsia" w:ascii="仿宋_GB2312" w:eastAsia="仿宋_GB2312"/>
          <w:sz w:val="32"/>
          <w:szCs w:val="32"/>
        </w:rPr>
        <w:t>年国有资产评估费项目实施了绩效评价，形成本评价报告。</w:t>
      </w:r>
    </w:p>
    <w:p>
      <w:pPr>
        <w:adjustRightInd w:val="0"/>
        <w:snapToGrid w:val="0"/>
        <w:spacing w:line="360" w:lineRule="auto"/>
        <w:rPr>
          <w:rFonts w:ascii="黑体" w:eastAsia="黑体"/>
          <w:b/>
          <w:bCs/>
          <w:sz w:val="32"/>
          <w:szCs w:val="36"/>
        </w:rPr>
      </w:pPr>
      <w:r>
        <w:rPr>
          <w:rFonts w:ascii="黑体" w:eastAsia="黑体"/>
          <w:sz w:val="32"/>
          <w:szCs w:val="32"/>
        </w:rPr>
        <w:t xml:space="preserve">    </w:t>
      </w:r>
      <w:r>
        <w:rPr>
          <w:rFonts w:hint="eastAsia" w:ascii="黑体" w:eastAsia="黑体"/>
          <w:sz w:val="32"/>
          <w:szCs w:val="32"/>
        </w:rPr>
        <w:t>一、项目</w:t>
      </w:r>
      <w:r>
        <w:rPr>
          <w:rFonts w:hint="eastAsia" w:ascii="黑体" w:eastAsia="黑体"/>
          <w:sz w:val="32"/>
          <w:szCs w:val="36"/>
        </w:rPr>
        <w:t>基本情况</w:t>
      </w:r>
    </w:p>
    <w:p>
      <w:pPr>
        <w:adjustRightInd w:val="0"/>
        <w:snapToGrid w:val="0"/>
        <w:spacing w:line="360" w:lineRule="auto"/>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（一）项目概况</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项目实施单位：鹿泉区财政局国资科</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鹿泉区财政局对行政事业单位国有资产进行评估作价，核实其资产真实价值。</w:t>
      </w:r>
    </w:p>
    <w:p>
      <w:pPr>
        <w:adjustRightInd w:val="0"/>
        <w:snapToGrid w:val="0"/>
        <w:spacing w:line="360" w:lineRule="auto"/>
        <w:ind w:firstLine="640" w:firstLineChars="200"/>
        <w:rPr>
          <w:rFonts w:ascii="仿宋_GB2312" w:eastAsia="仿宋_GB2312"/>
          <w:sz w:val="32"/>
          <w:szCs w:val="32"/>
        </w:rPr>
      </w:pPr>
      <w:r>
        <w:rPr>
          <w:rFonts w:ascii="仿宋_GB2312" w:eastAsia="仿宋_GB2312"/>
          <w:sz w:val="32"/>
          <w:szCs w:val="32"/>
        </w:rPr>
        <w:t xml:space="preserve"> 2.</w:t>
      </w:r>
      <w:r>
        <w:rPr>
          <w:rFonts w:hint="eastAsia" w:ascii="仿宋_GB2312" w:eastAsia="仿宋_GB2312"/>
          <w:sz w:val="32"/>
          <w:szCs w:val="32"/>
        </w:rPr>
        <w:t>根据《石家庄市行政事业国有资产管理办法》、《国有资产评估管理办法》和《中华人民共和国拍卖法》等相关文件，对我区内的国有资产进行评估拍卖。</w:t>
      </w:r>
    </w:p>
    <w:p>
      <w:pPr>
        <w:adjustRightInd w:val="0"/>
        <w:snapToGrid w:val="0"/>
        <w:spacing w:line="360" w:lineRule="auto"/>
        <w:ind w:firstLine="640" w:firstLineChars="200"/>
        <w:rPr>
          <w:rFonts w:ascii="楷体_GB2312" w:hAnsi="楷体_GB2312" w:eastAsia="楷体_GB2312" w:cs="楷体_GB2312"/>
          <w:b/>
          <w:bCs/>
          <w:sz w:val="32"/>
          <w:szCs w:val="32"/>
        </w:rPr>
      </w:pPr>
      <w:r>
        <w:rPr>
          <w:rFonts w:hint="eastAsia" w:ascii="楷体_GB2312" w:hAnsi="楷体_GB2312" w:eastAsia="楷体_GB2312" w:cs="楷体_GB2312"/>
          <w:sz w:val="32"/>
          <w:szCs w:val="32"/>
        </w:rPr>
        <w:t>（二）项目预期绩效目标</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对我区行政事业单位国有资产进行评估。</w:t>
      </w:r>
    </w:p>
    <w:p>
      <w:pPr>
        <w:adjustRightInd w:val="0"/>
        <w:snapToGrid w:val="0"/>
        <w:spacing w:line="360" w:lineRule="auto"/>
        <w:ind w:firstLine="643" w:firstLineChars="200"/>
        <w:rPr>
          <w:rFonts w:ascii="黑体" w:hAnsi="黑体" w:eastAsia="黑体" w:cs="黑体"/>
          <w:b/>
          <w:bCs/>
          <w:sz w:val="32"/>
          <w:szCs w:val="32"/>
        </w:rPr>
      </w:pPr>
      <w:r>
        <w:rPr>
          <w:rFonts w:hint="eastAsia" w:ascii="黑体" w:hAnsi="黑体" w:eastAsia="黑体" w:cs="黑体"/>
          <w:b/>
          <w:bCs/>
          <w:sz w:val="32"/>
          <w:szCs w:val="32"/>
        </w:rPr>
        <w:t>二、绩效评价工作情况</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（一）绩效评价的组织工作</w:t>
      </w:r>
    </w:p>
    <w:p>
      <w:pPr>
        <w:rPr>
          <w:rFonts w:ascii="楷体_GB2312" w:hAnsi="楷体_GB2312" w:eastAsia="楷体_GB2312" w:cs="楷体_GB2312"/>
          <w:b/>
          <w:bCs/>
          <w:sz w:val="32"/>
          <w:szCs w:val="32"/>
        </w:rPr>
      </w:pPr>
      <w:r>
        <w:rPr>
          <w:rFonts w:ascii="仿宋_GB2312" w:eastAsia="仿宋_GB2312"/>
          <w:sz w:val="32"/>
          <w:szCs w:val="32"/>
        </w:rPr>
        <w:t xml:space="preserve"> </w:t>
      </w:r>
      <w:r>
        <w:rPr>
          <w:rFonts w:ascii="仿宋_GB2312" w:eastAsia="仿宋_GB2312"/>
          <w:b/>
          <w:bCs/>
          <w:sz w:val="32"/>
          <w:szCs w:val="32"/>
        </w:rPr>
        <w:t xml:space="preserve">   </w:t>
      </w:r>
      <w:r>
        <w:rPr>
          <w:rFonts w:hint="eastAsia" w:ascii="楷体_GB2312" w:hAnsi="楷体_GB2312" w:eastAsia="楷体_GB2312" w:cs="楷体_GB2312"/>
          <w:sz w:val="32"/>
          <w:szCs w:val="32"/>
        </w:rPr>
        <w:t>（一）采取通过抽签方式选取招标入围的评估机构，对需评估的国有资产，进行价值核实评估。</w:t>
      </w:r>
    </w:p>
    <w:p>
      <w:pPr>
        <w:rPr>
          <w:rFonts w:ascii="仿宋_GB2312" w:eastAsia="仿宋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（二）建立绩效评价指标体系</w:t>
      </w:r>
    </w:p>
    <w:p>
      <w:pPr>
        <w:ind w:firstLine="640" w:firstLineChars="200"/>
        <w:rPr>
          <w:rFonts w:ascii="仿宋_GB2312" w:eastAsia="仿宋_GB2312"/>
          <w:sz w:val="32"/>
          <w:szCs w:val="32"/>
        </w:rPr>
      </w:pPr>
      <w:r>
        <w:rPr>
          <w:rFonts w:hint="eastAsia" w:ascii="仿宋_GB2312" w:eastAsia="仿宋_GB2312"/>
          <w:sz w:val="32"/>
          <w:szCs w:val="32"/>
        </w:rPr>
        <w:t>在开展预算绩效评价工作时，针对具体绩效评价对象的特点，设计具体的绩效评价指标体系。除共性指标外，必须设置能够体现项目特点和绩效的个性指标；</w:t>
      </w:r>
    </w:p>
    <w:p>
      <w:pPr>
        <w:rPr>
          <w:rFonts w:ascii="黑体" w:hAnsi="黑体" w:eastAsia="黑体" w:cs="黑体"/>
          <w:b/>
          <w:bCs/>
          <w:sz w:val="32"/>
          <w:szCs w:val="32"/>
        </w:rPr>
      </w:pPr>
      <w:r>
        <w:rPr>
          <w:rFonts w:ascii="仿宋_GB2312" w:eastAsia="仿宋_GB2312"/>
          <w:b/>
          <w:bCs/>
          <w:sz w:val="32"/>
          <w:szCs w:val="32"/>
        </w:rPr>
        <w:t xml:space="preserve">    </w:t>
      </w:r>
      <w:r>
        <w:rPr>
          <w:rFonts w:hint="eastAsia" w:ascii="黑体" w:hAnsi="黑体" w:eastAsia="黑体" w:cs="黑体"/>
          <w:sz w:val="32"/>
          <w:szCs w:val="32"/>
        </w:rPr>
        <w:t>三、项目执行及绩效实现情况</w:t>
      </w:r>
    </w:p>
    <w:p>
      <w:pPr>
        <w:rPr>
          <w:rFonts w:ascii="楷体_GB2312" w:hAnsi="楷体_GB2312" w:eastAsia="楷体_GB2312" w:cs="楷体_GB2312"/>
          <w:sz w:val="32"/>
          <w:szCs w:val="32"/>
        </w:rPr>
      </w:pPr>
      <w:r>
        <w:rPr>
          <w:rFonts w:ascii="楷体_GB2312" w:hAnsi="楷体_GB2312" w:eastAsia="楷体_GB2312" w:cs="楷体_GB2312"/>
          <w:sz w:val="32"/>
          <w:szCs w:val="32"/>
        </w:rPr>
        <w:t xml:space="preserve">   </w:t>
      </w:r>
      <w:r>
        <w:rPr>
          <w:rFonts w:hint="eastAsia" w:ascii="楷体_GB2312" w:hAnsi="楷体_GB2312" w:eastAsia="楷体_GB2312" w:cs="楷体_GB2312"/>
          <w:sz w:val="32"/>
          <w:szCs w:val="32"/>
        </w:rPr>
        <w:t>（一）项目投入</w:t>
      </w:r>
    </w:p>
    <w:p>
      <w:pPr>
        <w:ind w:firstLine="640" w:firstLineChars="200"/>
        <w:rPr>
          <w:rFonts w:ascii="仿宋_GB2312" w:eastAsia="仿宋_GB2312"/>
          <w:sz w:val="32"/>
          <w:szCs w:val="32"/>
        </w:rPr>
      </w:pPr>
      <w:r>
        <w:rPr>
          <w:rFonts w:hint="eastAsia" w:ascii="仿宋_GB2312" w:eastAsia="仿宋_GB2312"/>
          <w:sz w:val="32"/>
          <w:szCs w:val="32"/>
        </w:rPr>
        <w:t>项目立项情况分析。项目由区财政局国资科为实施主体，具体负责组织评估工作进行，设置了合理的绩效目标和明确的绩效指标。</w:t>
      </w:r>
    </w:p>
    <w:p>
      <w:pPr>
        <w:rPr>
          <w:rFonts w:ascii="楷体_GB2312" w:hAnsi="楷体_GB2312" w:eastAsia="楷体_GB2312" w:cs="楷体_GB2312"/>
          <w:sz w:val="32"/>
          <w:szCs w:val="32"/>
        </w:rPr>
      </w:pPr>
      <w:r>
        <w:rPr>
          <w:rFonts w:ascii="仿宋_GB2312" w:eastAsia="仿宋_GB2312"/>
          <w:sz w:val="32"/>
          <w:szCs w:val="32"/>
        </w:rPr>
        <w:t xml:space="preserve">   </w:t>
      </w:r>
      <w:r>
        <w:rPr>
          <w:rFonts w:hint="eastAsia" w:ascii="楷体_GB2312" w:hAnsi="楷体_GB2312" w:eastAsia="楷体_GB2312" w:cs="楷体_GB2312"/>
          <w:sz w:val="32"/>
          <w:szCs w:val="32"/>
        </w:rPr>
        <w:t>（二）项目实施过程</w:t>
      </w:r>
    </w:p>
    <w:p>
      <w:pPr>
        <w:ind w:firstLine="640" w:firstLineChars="200"/>
        <w:rPr>
          <w:rFonts w:ascii="仿宋_GB2312" w:eastAsia="仿宋_GB2312"/>
          <w:sz w:val="32"/>
          <w:szCs w:val="32"/>
        </w:rPr>
      </w:pPr>
      <w:r>
        <w:rPr>
          <w:rFonts w:ascii="仿宋_GB2312" w:eastAsia="仿宋_GB2312"/>
          <w:sz w:val="32"/>
          <w:szCs w:val="32"/>
        </w:rPr>
        <w:t>1.</w:t>
      </w:r>
      <w:r>
        <w:rPr>
          <w:rFonts w:hint="eastAsia" w:ascii="仿宋_GB2312" w:eastAsia="仿宋_GB2312"/>
          <w:sz w:val="32"/>
          <w:szCs w:val="32"/>
        </w:rPr>
        <w:t>业务管理情况分析。对管理制度健全性、制度执行有效性和项目质量可控性等情况进行分析后，根据指标体系评分标准计算分值。</w:t>
      </w:r>
    </w:p>
    <w:p>
      <w:pPr>
        <w:ind w:firstLine="640" w:firstLineChars="200"/>
        <w:rPr>
          <w:rFonts w:ascii="仿宋_GB2312" w:eastAsia="仿宋_GB2312"/>
          <w:sz w:val="32"/>
          <w:szCs w:val="32"/>
        </w:rPr>
      </w:pPr>
      <w:r>
        <w:rPr>
          <w:rFonts w:ascii="仿宋_GB2312" w:eastAsia="仿宋_GB2312"/>
          <w:sz w:val="32"/>
          <w:szCs w:val="32"/>
        </w:rPr>
        <w:t>2.</w:t>
      </w:r>
      <w:r>
        <w:rPr>
          <w:rFonts w:hint="eastAsia" w:ascii="仿宋_GB2312" w:eastAsia="仿宋_GB2312"/>
          <w:sz w:val="32"/>
          <w:szCs w:val="32"/>
        </w:rPr>
        <w:t>财务管理。对管理制度健全性、资金使用合规性和财务监控有效性等情况进行分析后，根据指标体系评分标准计算分值。</w:t>
      </w:r>
    </w:p>
    <w:p>
      <w:pPr>
        <w:rPr>
          <w:rFonts w:ascii="仿宋_GB2312" w:eastAsia="仿宋_GB2312"/>
          <w:b/>
          <w:bCs/>
          <w:sz w:val="32"/>
          <w:szCs w:val="32"/>
        </w:rPr>
      </w:pPr>
      <w:r>
        <w:rPr>
          <w:rFonts w:ascii="仿宋_GB2312" w:eastAsia="仿宋_GB2312"/>
          <w:b/>
          <w:bCs/>
          <w:sz w:val="32"/>
          <w:szCs w:val="32"/>
        </w:rPr>
        <w:t xml:space="preserve">   </w:t>
      </w:r>
      <w:r>
        <w:rPr>
          <w:rFonts w:hint="eastAsia" w:ascii="楷体_GB2312" w:hAnsi="楷体_GB2312" w:eastAsia="楷体_GB2312" w:cs="楷体_GB2312"/>
          <w:sz w:val="32"/>
          <w:szCs w:val="32"/>
        </w:rPr>
        <w:t>（三）项目产出</w:t>
      </w:r>
    </w:p>
    <w:p>
      <w:pPr>
        <w:adjustRightInd w:val="0"/>
        <w:snapToGrid w:val="0"/>
        <w:spacing w:line="360" w:lineRule="auto"/>
        <w:ind w:firstLine="640" w:firstLineChars="200"/>
        <w:rPr>
          <w:rFonts w:ascii="仿宋_GB2312" w:eastAsia="仿宋_GB2312"/>
          <w:sz w:val="32"/>
          <w:szCs w:val="32"/>
        </w:rPr>
      </w:pPr>
      <w:r>
        <w:rPr>
          <w:rFonts w:hint="eastAsia" w:ascii="仿宋_GB2312" w:eastAsia="仿宋_GB2312"/>
          <w:sz w:val="32"/>
          <w:szCs w:val="32"/>
        </w:rPr>
        <w:t>资金落实情况分析。</w:t>
      </w:r>
      <w:r>
        <w:rPr>
          <w:rFonts w:ascii="仿宋_GB2312" w:eastAsia="仿宋_GB2312"/>
          <w:sz w:val="32"/>
          <w:szCs w:val="32"/>
        </w:rPr>
        <w:t>2019</w:t>
      </w:r>
      <w:r>
        <w:rPr>
          <w:rFonts w:hint="eastAsia" w:ascii="仿宋_GB2312" w:eastAsia="仿宋_GB2312"/>
          <w:sz w:val="32"/>
          <w:szCs w:val="32"/>
        </w:rPr>
        <w:t>年安排行政事业单位国有资产评估和拍卖费</w:t>
      </w:r>
      <w:r>
        <w:rPr>
          <w:rFonts w:ascii="仿宋_GB2312" w:eastAsia="仿宋_GB2312"/>
          <w:sz w:val="32"/>
          <w:szCs w:val="32"/>
        </w:rPr>
        <w:t>19</w:t>
      </w:r>
      <w:r>
        <w:rPr>
          <w:rFonts w:hint="eastAsia" w:ascii="仿宋_GB2312" w:eastAsia="仿宋_GB2312"/>
          <w:sz w:val="32"/>
          <w:szCs w:val="32"/>
        </w:rPr>
        <w:t>万元，实际支出</w:t>
      </w:r>
      <w:r>
        <w:rPr>
          <w:rFonts w:ascii="仿宋_GB2312" w:eastAsia="仿宋_GB2312"/>
          <w:sz w:val="32"/>
          <w:szCs w:val="32"/>
        </w:rPr>
        <w:t>67050</w:t>
      </w:r>
      <w:r>
        <w:rPr>
          <w:rFonts w:hint="eastAsia" w:ascii="仿宋_GB2312" w:eastAsia="仿宋_GB2312"/>
          <w:sz w:val="32"/>
          <w:szCs w:val="32"/>
        </w:rPr>
        <w:t>元，完成率</w:t>
      </w:r>
      <w:r>
        <w:rPr>
          <w:rFonts w:ascii="仿宋_GB2312" w:eastAsia="仿宋_GB2312"/>
          <w:sz w:val="32"/>
          <w:szCs w:val="32"/>
        </w:rPr>
        <w:t>100%</w:t>
      </w:r>
      <w:r>
        <w:rPr>
          <w:rFonts w:hint="eastAsia" w:ascii="仿宋_GB2312" w:eastAsia="仿宋_GB2312"/>
          <w:sz w:val="32"/>
          <w:szCs w:val="32"/>
        </w:rPr>
        <w:t>，节支率达到</w:t>
      </w:r>
      <w:r>
        <w:rPr>
          <w:rFonts w:ascii="仿宋_GB2312" w:eastAsia="仿宋_GB2312"/>
          <w:sz w:val="32"/>
          <w:szCs w:val="32"/>
        </w:rPr>
        <w:t>36%</w:t>
      </w:r>
      <w:r>
        <w:rPr>
          <w:rFonts w:hint="eastAsia" w:ascii="仿宋_GB2312" w:eastAsia="仿宋_GB2312"/>
          <w:sz w:val="32"/>
          <w:szCs w:val="32"/>
        </w:rPr>
        <w:t>。</w:t>
      </w:r>
    </w:p>
    <w:p>
      <w:pPr>
        <w:rPr>
          <w:rFonts w:ascii="楷体_GB2312" w:hAnsi="楷体_GB2312" w:eastAsia="楷体_GB2312" w:cs="楷体_GB2312"/>
          <w:sz w:val="32"/>
          <w:szCs w:val="32"/>
        </w:rPr>
      </w:pPr>
      <w:r>
        <w:rPr>
          <w:rFonts w:ascii="楷体_GB2312" w:hAnsi="楷体_GB2312" w:eastAsia="楷体_GB2312" w:cs="楷体_GB2312"/>
          <w:b/>
          <w:bCs/>
          <w:sz w:val="32"/>
          <w:szCs w:val="32"/>
        </w:rPr>
        <w:t xml:space="preserve">   </w:t>
      </w:r>
      <w:r>
        <w:rPr>
          <w:rFonts w:hint="eastAsia" w:ascii="楷体_GB2312" w:hAnsi="楷体_GB2312" w:eastAsia="楷体_GB2312" w:cs="楷体_GB2312"/>
          <w:sz w:val="32"/>
          <w:szCs w:val="32"/>
        </w:rPr>
        <w:t>（四）项目效果</w:t>
      </w:r>
    </w:p>
    <w:p>
      <w:pPr>
        <w:ind w:firstLine="640" w:firstLineChars="200"/>
        <w:rPr>
          <w:rFonts w:ascii="仿宋_GB2312" w:eastAsia="仿宋_GB2312"/>
          <w:sz w:val="32"/>
          <w:szCs w:val="32"/>
        </w:rPr>
      </w:pPr>
      <w:r>
        <w:rPr>
          <w:rFonts w:hint="eastAsia" w:ascii="仿宋_GB2312" w:eastAsia="仿宋_GB2312"/>
          <w:sz w:val="32"/>
          <w:szCs w:val="32"/>
        </w:rPr>
        <w:t>对项目的经济效益、社会效益、生态效益、可持续影响和社会公众或服务对象满意度等情况进行分析后，根据指标体系评分标准计算分值。</w:t>
      </w:r>
    </w:p>
    <w:p>
      <w:pPr>
        <w:ind w:firstLine="640" w:firstLineChars="200"/>
        <w:rPr>
          <w:rFonts w:ascii="黑体" w:hAnsi="黑体" w:eastAsia="黑体"/>
          <w:sz w:val="32"/>
          <w:szCs w:val="32"/>
        </w:rPr>
      </w:pPr>
      <w:r>
        <w:rPr>
          <w:rFonts w:hint="eastAsia" w:ascii="黑体" w:hAnsi="黑体" w:eastAsia="黑体"/>
          <w:sz w:val="32"/>
          <w:szCs w:val="32"/>
        </w:rPr>
        <w:t>四、项目综合评价结论和评价等级</w:t>
      </w:r>
    </w:p>
    <w:p>
      <w:pPr>
        <w:ind w:firstLine="640" w:firstLineChars="200"/>
        <w:rPr>
          <w:rFonts w:ascii="仿宋_GB2312" w:eastAsia="仿宋_GB2312"/>
          <w:sz w:val="32"/>
          <w:szCs w:val="32"/>
        </w:rPr>
      </w:pPr>
      <w:r>
        <w:rPr>
          <w:rFonts w:hint="eastAsia" w:ascii="仿宋_GB2312" w:eastAsia="仿宋_GB2312"/>
          <w:sz w:val="32"/>
          <w:szCs w:val="32"/>
        </w:rPr>
        <w:t>根据项目执行情况和项目绩效情况，项目单位评价工作组得出项目综合结论为90分，项目综合绩效评价等级优秀。</w:t>
      </w:r>
    </w:p>
    <w:p>
      <w:pPr>
        <w:adjustRightInd w:val="0"/>
        <w:snapToGrid w:val="0"/>
        <w:spacing w:line="360" w:lineRule="auto"/>
        <w:ind w:firstLine="640" w:firstLineChars="200"/>
        <w:rPr>
          <w:rFonts w:ascii="仿宋_GB2312" w:eastAsia="仿宋_GB2312"/>
          <w:sz w:val="32"/>
          <w:szCs w:val="32"/>
        </w:rPr>
      </w:pPr>
      <w:r>
        <w:rPr>
          <w:rFonts w:hint="eastAsia" w:ascii="黑体" w:eastAsia="黑体"/>
          <w:sz w:val="32"/>
          <w:szCs w:val="32"/>
        </w:rPr>
        <w:t>五、评价工作组人员名单及签字</w:t>
      </w:r>
      <w:r>
        <w:rPr>
          <w:rFonts w:hint="eastAsia" w:ascii="仿宋_GB2312" w:eastAsia="仿宋_GB2312"/>
          <w:sz w:val="32"/>
          <w:szCs w:val="32"/>
        </w:rPr>
        <w:t>（姓名、工作单位、职务、职称）</w:t>
      </w:r>
    </w:p>
    <w:p>
      <w:pPr>
        <w:ind w:firstLine="630"/>
        <w:rPr>
          <w:rFonts w:ascii="仿宋_GB2312" w:eastAsia="仿宋_GB2312"/>
          <w:sz w:val="32"/>
          <w:szCs w:val="32"/>
        </w:rPr>
      </w:pPr>
      <w:r>
        <w:rPr>
          <w:rFonts w:hint="eastAsia" w:ascii="仿宋_GB2312" w:eastAsia="仿宋_GB2312"/>
          <w:sz w:val="32"/>
          <w:szCs w:val="32"/>
        </w:rPr>
        <w:t>评价工作组人员名单：</w:t>
      </w:r>
    </w:p>
    <w:p>
      <w:pPr>
        <w:ind w:firstLine="630"/>
        <w:rPr>
          <w:rFonts w:ascii="仿宋_GB2312" w:eastAsia="仿宋_GB2312"/>
          <w:sz w:val="32"/>
          <w:szCs w:val="32"/>
        </w:rPr>
      </w:pPr>
      <w:r>
        <w:rPr>
          <w:rFonts w:hint="eastAsia" w:ascii="仿宋_GB2312" w:eastAsia="仿宋_GB2312"/>
          <w:sz w:val="32"/>
          <w:szCs w:val="32"/>
        </w:rPr>
        <w:t>杨朝辉</w:t>
      </w:r>
      <w:r>
        <w:rPr>
          <w:rFonts w:ascii="仿宋_GB2312" w:eastAsia="仿宋_GB2312"/>
          <w:sz w:val="32"/>
          <w:szCs w:val="32"/>
        </w:rPr>
        <w:t xml:space="preserve">     </w:t>
      </w:r>
      <w:r>
        <w:rPr>
          <w:rFonts w:hint="eastAsia" w:ascii="仿宋_GB2312" w:eastAsia="仿宋_GB2312"/>
          <w:sz w:val="32"/>
          <w:szCs w:val="32"/>
        </w:rPr>
        <w:t>鹿泉区财政局</w:t>
      </w:r>
      <w:r>
        <w:rPr>
          <w:rFonts w:ascii="仿宋_GB2312" w:eastAsia="仿宋_GB2312"/>
          <w:sz w:val="32"/>
          <w:szCs w:val="32"/>
        </w:rPr>
        <w:t xml:space="preserve">      </w:t>
      </w:r>
      <w:r>
        <w:rPr>
          <w:rFonts w:hint="eastAsia" w:ascii="仿宋_GB2312" w:eastAsia="仿宋_GB2312"/>
          <w:sz w:val="32"/>
          <w:szCs w:val="32"/>
        </w:rPr>
        <w:t>国资科科长</w:t>
      </w:r>
    </w:p>
    <w:p>
      <w:pPr>
        <w:ind w:firstLine="630"/>
        <w:rPr>
          <w:rFonts w:ascii="仿宋_GB2312" w:eastAsia="仿宋_GB2312"/>
          <w:sz w:val="32"/>
          <w:szCs w:val="32"/>
        </w:rPr>
      </w:pPr>
      <w:r>
        <w:rPr>
          <w:rFonts w:hint="eastAsia" w:ascii="仿宋_GB2312" w:eastAsia="仿宋_GB2312"/>
          <w:sz w:val="32"/>
          <w:szCs w:val="32"/>
        </w:rPr>
        <w:t>郄</w:t>
      </w:r>
      <w:r>
        <w:rPr>
          <w:rFonts w:ascii="仿宋_GB2312" w:eastAsia="仿宋_GB2312"/>
          <w:sz w:val="32"/>
          <w:szCs w:val="32"/>
        </w:rPr>
        <w:t xml:space="preserve">  </w:t>
      </w:r>
      <w:r>
        <w:rPr>
          <w:rFonts w:hint="eastAsia" w:ascii="仿宋_GB2312" w:eastAsia="仿宋_GB2312"/>
          <w:sz w:val="32"/>
          <w:szCs w:val="32"/>
        </w:rPr>
        <w:t>伟</w:t>
      </w:r>
      <w:r>
        <w:rPr>
          <w:rFonts w:ascii="仿宋_GB2312" w:eastAsia="仿宋_GB2312"/>
          <w:sz w:val="32"/>
          <w:szCs w:val="32"/>
        </w:rPr>
        <w:t xml:space="preserve">     </w:t>
      </w:r>
      <w:r>
        <w:rPr>
          <w:rFonts w:hint="eastAsia" w:ascii="仿宋_GB2312" w:eastAsia="仿宋_GB2312"/>
          <w:sz w:val="32"/>
          <w:szCs w:val="32"/>
        </w:rPr>
        <w:t>鹿泉区财政局</w:t>
      </w:r>
      <w:r>
        <w:rPr>
          <w:rFonts w:ascii="仿宋_GB2312" w:eastAsia="仿宋_GB2312"/>
          <w:sz w:val="32"/>
          <w:szCs w:val="32"/>
        </w:rPr>
        <w:t xml:space="preserve">      </w:t>
      </w:r>
      <w:r>
        <w:rPr>
          <w:rFonts w:hint="eastAsia" w:ascii="仿宋_GB2312" w:eastAsia="仿宋_GB2312"/>
          <w:sz w:val="32"/>
          <w:szCs w:val="32"/>
        </w:rPr>
        <w:t>国资科副科长</w:t>
      </w:r>
    </w:p>
    <w:p>
      <w:pPr>
        <w:ind w:firstLine="630"/>
        <w:rPr>
          <w:rFonts w:ascii="仿宋_GB2312" w:eastAsia="仿宋_GB2312"/>
          <w:sz w:val="32"/>
          <w:szCs w:val="32"/>
        </w:rPr>
      </w:pPr>
      <w:r>
        <w:rPr>
          <w:rFonts w:hint="eastAsia" w:ascii="仿宋_GB2312" w:eastAsia="仿宋_GB2312"/>
          <w:sz w:val="32"/>
          <w:szCs w:val="32"/>
        </w:rPr>
        <w:t>刘晨梅</w:t>
      </w:r>
      <w:r>
        <w:rPr>
          <w:rFonts w:ascii="仿宋_GB2312" w:eastAsia="仿宋_GB2312"/>
          <w:sz w:val="32"/>
          <w:szCs w:val="32"/>
        </w:rPr>
        <w:t xml:space="preserve">     </w:t>
      </w:r>
      <w:r>
        <w:rPr>
          <w:rFonts w:hint="eastAsia" w:ascii="仿宋_GB2312" w:eastAsia="仿宋_GB2312"/>
          <w:sz w:val="32"/>
          <w:szCs w:val="32"/>
        </w:rPr>
        <w:t>鹿泉区财政局</w:t>
      </w:r>
      <w:r>
        <w:rPr>
          <w:rFonts w:ascii="仿宋_GB2312" w:eastAsia="仿宋_GB2312"/>
          <w:sz w:val="32"/>
          <w:szCs w:val="32"/>
        </w:rPr>
        <w:t xml:space="preserve">      </w:t>
      </w:r>
      <w:r>
        <w:rPr>
          <w:rFonts w:hint="eastAsia" w:ascii="仿宋_GB2312" w:eastAsia="仿宋_GB2312"/>
          <w:sz w:val="32"/>
          <w:szCs w:val="32"/>
        </w:rPr>
        <w:t>国资科副科长</w:t>
      </w: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bookmarkStart w:id="0" w:name="_GoBack"/>
      <w:bookmarkEnd w:id="0"/>
    </w:p>
    <w:p>
      <w:pPr>
        <w:adjustRightInd w:val="0"/>
        <w:spacing w:line="360" w:lineRule="auto"/>
        <w:ind w:firstLine="640" w:firstLineChars="200"/>
        <w:rPr>
          <w:rFonts w:ascii="仿宋_GB2312" w:hAnsi="宋体" w:eastAsia="仿宋_GB2312"/>
          <w:sz w:val="32"/>
          <w:szCs w:val="32"/>
        </w:rPr>
      </w:pPr>
      <w:r>
        <w:rPr>
          <w:rFonts w:hint="eastAsia" w:ascii="仿宋_GB2312" w:hAnsi="宋体" w:eastAsia="仿宋_GB2312"/>
          <w:sz w:val="32"/>
          <w:szCs w:val="32"/>
        </w:rPr>
        <w:t>附件：项目支出绩效评价共性指标体系框架</w:t>
      </w:r>
    </w:p>
    <w:p>
      <w:pPr>
        <w:adjustRightInd w:val="0"/>
        <w:spacing w:line="360" w:lineRule="auto"/>
        <w:ind w:firstLine="643" w:firstLineChars="200"/>
        <w:rPr>
          <w:rFonts w:ascii="宋体"/>
          <w:b/>
          <w:color w:val="000000"/>
          <w:sz w:val="32"/>
          <w:shd w:val="clear" w:color="auto" w:fill="FFFFFF"/>
        </w:rPr>
      </w:pPr>
      <w:r>
        <w:rPr>
          <w:rFonts w:ascii="宋体" w:hAnsi="宋体"/>
          <w:b/>
          <w:color w:val="000000"/>
          <w:sz w:val="32"/>
          <w:shd w:val="clear" w:color="auto" w:fill="FFFFFF"/>
        </w:rPr>
        <w:t xml:space="preserve">      </w:t>
      </w:r>
      <w:r>
        <w:rPr>
          <w:rFonts w:hint="eastAsia" w:ascii="宋体" w:hAnsi="宋体"/>
          <w:b/>
          <w:color w:val="000000"/>
          <w:sz w:val="32"/>
          <w:shd w:val="clear" w:color="auto" w:fill="FFFFFF"/>
        </w:rPr>
        <w:t>项目支出绩效评价共性指标体系框架</w:t>
      </w:r>
    </w:p>
    <w:tbl>
      <w:tblPr>
        <w:tblStyle w:val="4"/>
        <w:tblW w:w="8646" w:type="dxa"/>
        <w:tblInd w:w="0" w:type="dxa"/>
        <w:tblLayout w:type="fixed"/>
        <w:tblCellMar>
          <w:top w:w="0" w:type="dxa"/>
          <w:left w:w="108" w:type="dxa"/>
          <w:bottom w:w="0" w:type="dxa"/>
          <w:right w:w="108" w:type="dxa"/>
        </w:tblCellMar>
      </w:tblPr>
      <w:tblGrid>
        <w:gridCol w:w="742"/>
        <w:gridCol w:w="778"/>
        <w:gridCol w:w="818"/>
        <w:gridCol w:w="2414"/>
        <w:gridCol w:w="3894"/>
      </w:tblGrid>
      <w:tr>
        <w:tblPrEx>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一级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二级</w:t>
            </w:r>
            <w:r>
              <w:rPr>
                <w:rFonts w:ascii="楷体_GB2312" w:hAnsi="楷体_GB2312" w:eastAsia="楷体_GB2312"/>
                <w:b/>
                <w:color w:val="000000"/>
                <w:sz w:val="24"/>
                <w:szCs w:val="28"/>
                <w:shd w:val="clear" w:color="auto" w:fill="FFFFFF"/>
              </w:rPr>
              <w:br w:type="textWrapping"/>
            </w:r>
            <w:r>
              <w:rPr>
                <w:rFonts w:hint="eastAsia" w:ascii="楷体_GB2312" w:hAnsi="楷体_GB2312" w:eastAsia="楷体_GB2312"/>
                <w:b/>
                <w:color w:val="000000"/>
                <w:sz w:val="24"/>
                <w:szCs w:val="28"/>
                <w:shd w:val="clear" w:color="auto" w:fill="FFFFFF"/>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b/>
                <w:color w:val="000000"/>
                <w:sz w:val="24"/>
                <w:szCs w:val="28"/>
                <w:shd w:val="clear" w:color="auto" w:fill="FFFFFF"/>
              </w:rPr>
            </w:pPr>
            <w:r>
              <w:rPr>
                <w:rFonts w:hint="eastAsia" w:ascii="楷体_GB2312" w:hAnsi="楷体_GB2312" w:eastAsia="楷体_GB2312"/>
                <w:b/>
                <w:color w:val="000000"/>
                <w:sz w:val="24"/>
                <w:szCs w:val="28"/>
                <w:shd w:val="clear" w:color="auto" w:fill="FFFFFF"/>
              </w:rPr>
              <w:t>指标说明</w:t>
            </w:r>
          </w:p>
        </w:tc>
      </w:tr>
      <w:tr>
        <w:tblPrEx>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投</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入</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16</w:t>
            </w:r>
            <w:r>
              <w:rPr>
                <w:rFonts w:hint="eastAsia" w:ascii="楷体_GB2312" w:hAnsi="楷体_GB2312" w:eastAsia="楷体_GB2312"/>
                <w:color w:val="000000"/>
                <w:sz w:val="22"/>
                <w:shd w:val="clear" w:color="auto" w:fill="FFFFFF"/>
              </w:rPr>
              <w:t>分）</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立项</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11</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项目的申请、设立过程是否符合相关要求，用以反映和考核项目立项的规范情况。</w:t>
            </w:r>
            <w:r>
              <w:rPr>
                <w:rFonts w:ascii="楷体_GB2312" w:hAnsi="楷体_GB2312" w:eastAsia="楷体_GB2312"/>
                <w:color w:val="000000"/>
                <w:sz w:val="22"/>
                <w:shd w:val="clear" w:color="auto" w:fill="FFFFFF"/>
              </w:rPr>
              <w:t>(3</w:t>
            </w:r>
            <w:r>
              <w:rPr>
                <w:rFonts w:hint="eastAsia" w:ascii="楷体_GB2312" w:hAnsi="楷体_GB2312" w:eastAsia="楷体_GB2312"/>
                <w:color w:val="000000"/>
                <w:sz w:val="22"/>
                <w:shd w:val="clear" w:color="auto" w:fill="FFFFFF"/>
              </w:rPr>
              <w:t>分</w:t>
            </w:r>
            <w:r>
              <w:rPr>
                <w:rFonts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①项目是否按照规定的程序申请设立；</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②所提交的文件、材料是否符合相关要求；</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③事前是否已经过必要的可行性研究、专家论证、风险评估、集体决策等。</w:t>
            </w:r>
          </w:p>
        </w:tc>
      </w:tr>
      <w:tr>
        <w:tblPrEx>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项目所设定的绩效目标是否依据充分，是否符合客观实际，用以反映和考核项目绩效目标与项目实施的相符情况。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分</w:t>
            </w:r>
            <w:r>
              <w:rPr>
                <w:rFonts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①是否符合国家相关法律法规、国民经济发展规划和党委政府决策；</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②是否与项目实施单位或委托单位职责密切相关；</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③项目是否为促进事业发展所必需；</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④项目预期产出效益和效果是否符合正常的业绩水平。</w:t>
            </w:r>
          </w:p>
        </w:tc>
      </w:tr>
      <w:tr>
        <w:tblPrEx>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依据绩效目标设定的绩效指标是否清晰、细化、可衡量等，用以反映和考核项目绩效目标的明细化情况。（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①是否将项目绩效目标细化分解为具体的绩效指标；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②是否通过清晰、可衡量的指标值予以体现；</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③是否与项目年度任务数或计划数相对应；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④是否与预算确定的项目投资额或资金量相匹配。</w:t>
            </w:r>
          </w:p>
        </w:tc>
      </w:tr>
      <w:tr>
        <w:tblPrEx>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落实</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5</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实际到位资金与计划投入资金的比率，用以反映和考核资金落实情况对项目实施的总体保障程度。（</w:t>
            </w:r>
            <w:r>
              <w:rPr>
                <w:rFonts w:ascii="楷体_GB2312" w:hAnsi="楷体_GB2312" w:eastAsia="楷体_GB2312"/>
                <w:color w:val="000000"/>
                <w:sz w:val="22"/>
                <w:shd w:val="clear" w:color="auto" w:fill="FFFFFF"/>
              </w:rPr>
              <w:t>3</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资金到位率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计划投入资金）×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实际到位资金：一定时期（本年度或项目期）内实际落实到具体项目的资金。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计划投入资金：一定时期（本年度或项目期）内计划投入到具体项目的资金。</w:t>
            </w:r>
          </w:p>
        </w:tc>
      </w:tr>
      <w:tr>
        <w:tblPrEx>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及时到位资金与应到位资金的比率，用以反映和考核项目资金落实的及时性程度。（</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到位及时率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（及时到位资金</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应到位资金）×</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及时到位资金：截至规定时点实际落实到具体项目的资金。</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应到位资金：按照合同或项目进度要求截至规定时点应落实到具体项目的资金。</w:t>
            </w:r>
          </w:p>
        </w:tc>
      </w:tr>
      <w:tr>
        <w:tblPrEx>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过</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程</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19</w:t>
            </w:r>
            <w:r>
              <w:rPr>
                <w:rFonts w:hint="eastAsia" w:ascii="楷体_GB2312" w:hAnsi="楷体_GB2312" w:eastAsia="楷体_GB2312"/>
                <w:color w:val="000000"/>
                <w:sz w:val="22"/>
                <w:shd w:val="clear" w:color="auto" w:fill="FFFFFF"/>
              </w:rPr>
              <w:t>分）</w:t>
            </w: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业务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r>
              <w:rPr>
                <w:rFonts w:ascii="楷体_GB2312" w:hAnsi="楷体_GB2312" w:eastAsia="楷体_GB2312"/>
                <w:color w:val="000000"/>
                <w:sz w:val="22"/>
                <w:shd w:val="clear" w:color="auto" w:fill="FFFFFF"/>
              </w:rPr>
              <w:t>10</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项目实施单位的业务管理制度是否健全，用以反映和考核业务管理制度对项目顺利实施的保障情况。（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①是否已制定或具有相应的业务管理制度；</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②业务管理制度是否合法、合规、完整。</w:t>
            </w:r>
          </w:p>
        </w:tc>
      </w:tr>
      <w:tr>
        <w:tblPrEx>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项目实施是否符合相关业务管理规定，用以反映和考核业务管理制度的有效执行情况。（</w:t>
            </w:r>
            <w:r>
              <w:rPr>
                <w:rFonts w:ascii="楷体_GB2312" w:hAnsi="楷体_GB2312" w:eastAsia="楷体_GB2312"/>
                <w:color w:val="000000"/>
                <w:sz w:val="22"/>
                <w:shd w:val="clear" w:color="auto" w:fill="FFFFFF"/>
              </w:rPr>
              <w:t>4</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①是否遵守相关法律法规和业务管理规定；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②项目调整及支出调整手续是否完备；</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③项目合同书、验收报告、技术鉴定等资料是否齐全并及时归档；</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④项目实施的人员条件、场地设备、信息支撑等是否落实到位。</w:t>
            </w:r>
          </w:p>
        </w:tc>
      </w:tr>
      <w:tr>
        <w:tblPrEx>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项目实施单位是否为达到项目质量要求而采取了必需的措施</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用以反映和考核项目实施单位对项目质量的控制情况。（</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①是否已制定或具有相应的项目质量要求或标准；</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②是否采取了相应的项目质量检查、验收等必需的控制措施或手段。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管理（</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项目实施单位的财务制度是否健全，用以反映和考核财务管理制度对资金规范、安全运行的保障情况。（</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①是否已制定或具有相应的项目资金管理办法；</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②项目资金管理办法是否符合相关财务会计制度的规定。</w:t>
            </w:r>
          </w:p>
        </w:tc>
      </w:tr>
      <w:tr>
        <w:tblPrEx>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项目资金使用是否符合相关的财务管理制度规定，用以反映和考核项目资金的规范运行情况。（</w:t>
            </w:r>
            <w:r>
              <w:rPr>
                <w:rFonts w:ascii="楷体_GB2312" w:hAnsi="楷体_GB2312" w:eastAsia="楷体_GB2312"/>
                <w:color w:val="000000"/>
                <w:sz w:val="22"/>
                <w:shd w:val="clear" w:color="auto" w:fill="FFFFFF"/>
              </w:rPr>
              <w:t>5</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①是否符合国家财经法规和财务管理制度以及有关专项资金管理办法的规定；</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②资金的拨付是否有完整的审批程序和手续；</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③项目的重大开支是否经过评估认证；</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④是否符合项目预算批复或合同规定的用途；</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⑤是否存在截留、挤占、挪用、虚列支出等情况。</w:t>
            </w:r>
          </w:p>
        </w:tc>
      </w:tr>
      <w:tr>
        <w:tblPrEx>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项目实施单位是否为保障资金的安全、规范运行而采取了必要的监控措施，用以反映和考核项目实施单位对资金运行的控制情况。（</w:t>
            </w:r>
            <w:r>
              <w:rPr>
                <w:rFonts w:ascii="楷体_GB2312" w:hAnsi="楷体_GB2312" w:eastAsia="楷体_GB2312"/>
                <w:color w:val="000000"/>
                <w:sz w:val="22"/>
                <w:shd w:val="clear" w:color="auto" w:fill="FFFFFF"/>
              </w:rPr>
              <w:t>2</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评价要点：</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①是否已制定或具有相应的监控机制；</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②是否采取了相应的财务检查等必要的监控措施或手段。</w:t>
            </w:r>
          </w:p>
        </w:tc>
      </w:tr>
      <w:tr>
        <w:tblPrEx>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产</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出</w:t>
            </w:r>
          </w:p>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65</w:t>
            </w:r>
            <w:r>
              <w:rPr>
                <w:rFonts w:hint="eastAsia" w:ascii="楷体_GB2312" w:hAnsi="楷体_GB2312" w:eastAsia="楷体_GB2312"/>
                <w:color w:val="000000"/>
                <w:sz w:val="22"/>
                <w:shd w:val="clear" w:color="auto" w:fill="FFFFFF"/>
              </w:rPr>
              <w:t>分）</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产出（</w:t>
            </w:r>
            <w:r>
              <w:rPr>
                <w:rFonts w:ascii="楷体_GB2312" w:hAnsi="楷体_GB2312" w:eastAsia="楷体_GB2312"/>
                <w:color w:val="000000"/>
                <w:sz w:val="22"/>
                <w:shd w:val="clear" w:color="auto" w:fill="FFFFFF"/>
              </w:rPr>
              <w:t>35</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项目实施的实际产出数与计划产出数的比率，用以反映和考核项目产出数量目标的实现程度。（</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实际完成率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实际产出数：一定时期（本年度或项目期）内项目实际产出的产品或提供的服务数量。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计划产出数：项目绩效目标确定的在一定时期（本年度或项目期）内计划产出的产品或提供的服务数量。</w:t>
            </w:r>
          </w:p>
        </w:tc>
      </w:tr>
      <w:tr>
        <w:tblPrEx>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项目实际提前完成时间与计划完成时间的比率，用以反映和考核项目产出时效目标的实现程度。（</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完成及时率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计划完成时间</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实际完成时间：项目实施单位完成该项目实际所耗用的时间。</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计划完成时间：按照项目实施计划或相关规定完成该项目所需的时间。</w:t>
            </w:r>
          </w:p>
        </w:tc>
      </w:tr>
      <w:tr>
        <w:tblPrEx>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项目完成的质量达标产出数与实际产出数的比率，用以反映和考核项目产出质量目标的实现程度。（</w:t>
            </w:r>
            <w:r>
              <w:rPr>
                <w:rFonts w:ascii="楷体_GB2312" w:hAnsi="楷体_GB2312" w:eastAsia="楷体_GB2312"/>
                <w:color w:val="000000"/>
                <w:sz w:val="22"/>
                <w:shd w:val="clear" w:color="auto" w:fill="FFFFFF"/>
              </w:rPr>
              <w:t>9</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质量达标率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（质量达标产出数</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实际产出数）×</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质量达标产出数：一定时期（本年度或项目期）内实际达到既定质量标准的产品或服务数量。</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既定质量标准是指项目实施单位设立绩效目标时依据计划标准、行业标准、历史标准或其他标准而设定的绩效指标值。</w:t>
            </w:r>
          </w:p>
        </w:tc>
      </w:tr>
      <w:tr>
        <w:tblPrEx>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完成项目计划工作目标的实际节约成本与计划成本的比率，用以反映和考核项目的成本节约程度。（</w:t>
            </w:r>
            <w:r>
              <w:rPr>
                <w:rFonts w:ascii="楷体_GB2312" w:hAnsi="楷体_GB2312" w:eastAsia="楷体_GB2312"/>
                <w:color w:val="000000"/>
                <w:sz w:val="22"/>
                <w:shd w:val="clear" w:color="auto" w:fill="FFFFFF"/>
              </w:rPr>
              <w:t>8</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成本节约率</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实际成本）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计划成本</w:t>
            </w:r>
            <w:r>
              <w:rPr>
                <w:rFonts w:ascii="楷体_GB2312" w:hAnsi="楷体_GB2312" w:eastAsia="楷体_GB2312"/>
                <w:color w:val="000000"/>
                <w:sz w:val="22"/>
                <w:shd w:val="clear" w:color="auto" w:fill="FFFFFF"/>
              </w:rPr>
              <w:t>]</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t>100%</w:t>
            </w:r>
            <w:r>
              <w:rPr>
                <w:rFonts w:hint="eastAsia" w:ascii="楷体_GB2312" w:hAnsi="楷体_GB2312" w:eastAsia="楷体_GB2312"/>
                <w:color w:val="000000"/>
                <w:sz w:val="22"/>
                <w:shd w:val="clear" w:color="auto" w:fill="FFFFFF"/>
              </w:rPr>
              <w:t>。</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实际成本：项目实施单位如期、保质、保量完成既定工作目标实际所耗费的支出。</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计划成本：项目实施单位为完成工作目标计划安排的支出，一般以项目预算为参考。</w:t>
            </w:r>
          </w:p>
        </w:tc>
      </w:tr>
      <w:tr>
        <w:tblPrEx>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效</w:t>
            </w:r>
            <w:r>
              <w:rPr>
                <w:rFonts w:ascii="楷体_GB2312" w:hAnsi="楷体_GB2312" w:eastAsia="楷体_GB2312"/>
                <w:color w:val="000000"/>
                <w:sz w:val="22"/>
                <w:shd w:val="clear" w:color="auto" w:fill="FFFFFF"/>
              </w:rPr>
              <w:t xml:space="preserve">   </w:t>
            </w:r>
            <w:r>
              <w:rPr>
                <w:rFonts w:hint="eastAsia" w:ascii="楷体_GB2312" w:hAnsi="楷体_GB2312" w:eastAsia="楷体_GB2312"/>
                <w:color w:val="000000"/>
                <w:sz w:val="22"/>
                <w:shd w:val="clear" w:color="auto" w:fill="FFFFFF"/>
              </w:rPr>
              <w:t>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w:t>
            </w:r>
            <w:r>
              <w:rPr>
                <w:rFonts w:ascii="楷体_GB2312" w:hAnsi="楷体_GB2312" w:eastAsia="楷体_GB2312"/>
                <w:color w:val="000000"/>
                <w:sz w:val="22"/>
                <w:shd w:val="clear" w:color="auto" w:fill="FFFFFF"/>
              </w:rPr>
              <w:br w:type="textWrapping"/>
            </w:r>
            <w:r>
              <w:rPr>
                <w:rFonts w:hint="eastAsia" w:ascii="楷体_GB2312" w:hAnsi="楷体_GB2312" w:eastAsia="楷体_GB2312"/>
                <w:color w:val="000000"/>
                <w:sz w:val="22"/>
                <w:shd w:val="clear" w:color="auto" w:fill="FFFFFF"/>
              </w:rPr>
              <w:t>效益（</w:t>
            </w:r>
            <w:r>
              <w:rPr>
                <w:rFonts w:ascii="楷体_GB2312" w:hAnsi="楷体_GB2312" w:eastAsia="楷体_GB2312"/>
                <w:color w:val="000000"/>
                <w:sz w:val="22"/>
                <w:shd w:val="clear" w:color="auto" w:fill="FFFFFF"/>
              </w:rPr>
              <w:t>30</w:t>
            </w:r>
            <w:r>
              <w:rPr>
                <w:rFonts w:hint="eastAsia" w:ascii="楷体_GB2312" w:hAnsi="楷体_GB2312" w:eastAsia="楷体_GB2312"/>
                <w:color w:val="000000"/>
                <w:sz w:val="22"/>
                <w:shd w:val="clear" w:color="auto" w:fill="FFFFFF"/>
              </w:rPr>
              <w:t>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项目实施对经济发展所带来的直接或间接影响情况。（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此四项指标为设置项目支出绩效评价指标时必须考虑的共性要素，可根据项目实际并结合绩效目标设立情况有选择的进行设置，并将其细化为相应的个性化指标。</w:t>
            </w:r>
          </w:p>
        </w:tc>
      </w:tr>
      <w:tr>
        <w:tblPrEx>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项目实施对社会发展所带来的直接或间接影响情况。（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项目实施对生态环境所带来的直接或间接影响情况。（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项目后续运行及成效发挥的可持续影响情况。（</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autoSpaceDN w:val="0"/>
              <w:rPr>
                <w:sz w:val="22"/>
              </w:rPr>
            </w:pPr>
          </w:p>
        </w:tc>
      </w:tr>
      <w:tr>
        <w:tblPrEx>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center"/>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社会公众或服务对象对项目实施效果的满意程度。（</w:t>
            </w:r>
            <w:r>
              <w:rPr>
                <w:rFonts w:ascii="楷体_GB2312" w:hAnsi="楷体_GB2312" w:eastAsia="楷体_GB2312"/>
                <w:color w:val="000000"/>
                <w:sz w:val="22"/>
                <w:shd w:val="clear" w:color="auto" w:fill="FFFFFF"/>
              </w:rPr>
              <w:t>6</w:t>
            </w:r>
            <w:r>
              <w:rPr>
                <w:rFonts w:hint="eastAsia" w:ascii="楷体_GB2312" w:hAnsi="楷体_GB2312" w:eastAsia="楷体_GB2312"/>
                <w:color w:val="000000"/>
                <w:sz w:val="22"/>
                <w:shd w:val="clear" w:color="auto" w:fill="FFFFFF"/>
              </w:rPr>
              <w:t>分）</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autoSpaceDN w:val="0"/>
              <w:jc w:val="left"/>
              <w:textAlignment w:val="center"/>
              <w:rPr>
                <w:rFonts w:ascii="楷体_GB2312" w:hAnsi="楷体_GB2312" w:eastAsia="楷体_GB2312"/>
                <w:color w:val="000000"/>
                <w:sz w:val="22"/>
                <w:shd w:val="clear" w:color="auto" w:fill="FFFFFF"/>
              </w:rPr>
            </w:pPr>
            <w:r>
              <w:rPr>
                <w:rFonts w:hint="eastAsia" w:ascii="楷体_GB2312" w:hAnsi="楷体_GB2312" w:eastAsia="楷体_GB2312"/>
                <w:color w:val="000000"/>
                <w:sz w:val="22"/>
                <w:shd w:val="clear" w:color="auto" w:fill="FFFFFF"/>
              </w:rPr>
              <w:t>社会公众或服务对象是指因该项目实施而受到影响的部门（单位）、群体或个人。一般采取社会调查的方式。</w:t>
            </w:r>
          </w:p>
        </w:tc>
      </w:tr>
    </w:tbl>
    <w:p>
      <w:pPr>
        <w:adjustRightInd w:val="0"/>
        <w:spacing w:line="360" w:lineRule="auto"/>
        <w:ind w:firstLine="640" w:firstLineChars="200"/>
        <w:rPr>
          <w:rFonts w:ascii="仿宋_GB2312" w:hAnsi="宋体" w:eastAsia="仿宋_GB2312"/>
          <w:sz w:val="32"/>
          <w:szCs w:val="32"/>
        </w:rPr>
      </w:pPr>
    </w:p>
    <w:p>
      <w:pPr>
        <w:adjustRightInd w:val="0"/>
        <w:spacing w:line="360" w:lineRule="auto"/>
        <w:ind w:firstLine="640" w:firstLineChars="200"/>
        <w:rPr>
          <w:rFonts w:ascii="仿宋_GB2312" w:hAnsi="宋体" w:eastAsia="仿宋_GB2312"/>
          <w:sz w:val="32"/>
          <w:szCs w:val="32"/>
        </w:rPr>
      </w:pPr>
    </w:p>
    <w:sectPr>
      <w:headerReference r:id="rId3"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10" w:usb3="00000000" w:csb0="0004009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楷体_GB2312">
    <w:altName w:val="楷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rPr>
        <w:rStyle w:val="6"/>
      </w:rPr>
      <w:fldChar w:fldCharType="begin"/>
    </w:r>
    <w:r>
      <w:rPr>
        <w:rStyle w:val="6"/>
      </w:rPr>
      <w:instrText xml:space="preserve">PAGE  </w:instrText>
    </w:r>
    <w:r>
      <w:rPr>
        <w:rStyle w:val="6"/>
      </w:rPr>
      <w:fldChar w:fldCharType="separate"/>
    </w:r>
    <w:r>
      <w:rPr>
        <w:rStyle w:val="6"/>
      </w:rPr>
      <w:t>4</w:t>
    </w:r>
    <w:r>
      <w:rPr>
        <w:rStyle w:val="6"/>
      </w:rPr>
      <w:fldChar w:fldCharType="end"/>
    </w:r>
  </w:p>
  <w:p>
    <w:pPr>
      <w:pStyle w:val="2"/>
      <w:ind w:right="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2A2941B7"/>
    <w:rsid w:val="00010933"/>
    <w:rsid w:val="000833B2"/>
    <w:rsid w:val="001F17EA"/>
    <w:rsid w:val="002741E3"/>
    <w:rsid w:val="002F7055"/>
    <w:rsid w:val="003E517D"/>
    <w:rsid w:val="00472998"/>
    <w:rsid w:val="004D07FC"/>
    <w:rsid w:val="0051689E"/>
    <w:rsid w:val="00581BDF"/>
    <w:rsid w:val="006A1674"/>
    <w:rsid w:val="007439FD"/>
    <w:rsid w:val="00790C1C"/>
    <w:rsid w:val="007933DB"/>
    <w:rsid w:val="007B6937"/>
    <w:rsid w:val="00866B4C"/>
    <w:rsid w:val="008A211C"/>
    <w:rsid w:val="00906268"/>
    <w:rsid w:val="00933C14"/>
    <w:rsid w:val="00982221"/>
    <w:rsid w:val="009C43D3"/>
    <w:rsid w:val="00A71E9D"/>
    <w:rsid w:val="00AE0E17"/>
    <w:rsid w:val="00B173EA"/>
    <w:rsid w:val="00C54C65"/>
    <w:rsid w:val="00CF18DA"/>
    <w:rsid w:val="00D769A0"/>
    <w:rsid w:val="00DC73CD"/>
    <w:rsid w:val="00E4252B"/>
    <w:rsid w:val="00E664F9"/>
    <w:rsid w:val="00EE2FC3"/>
    <w:rsid w:val="00FA066F"/>
    <w:rsid w:val="00FD480E"/>
    <w:rsid w:val="2A2941B7"/>
    <w:rsid w:val="6C0F040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iPriority w:val="99"/>
    <w:pPr>
      <w:tabs>
        <w:tab w:val="center" w:pos="4153"/>
        <w:tab w:val="right" w:pos="8306"/>
      </w:tabs>
      <w:snapToGrid w:val="0"/>
      <w:jc w:val="left"/>
    </w:pPr>
    <w:rPr>
      <w:sz w:val="18"/>
      <w:szCs w:val="18"/>
    </w:rPr>
  </w:style>
  <w:style w:type="paragraph" w:styleId="3">
    <w:name w:val="header"/>
    <w:basedOn w:val="1"/>
    <w:link w:val="8"/>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6">
    <w:name w:val="page number"/>
    <w:basedOn w:val="5"/>
    <w:uiPriority w:val="99"/>
    <w:rPr>
      <w:rFonts w:cs="Times New Roman"/>
    </w:rPr>
  </w:style>
  <w:style w:type="character" w:customStyle="1" w:styleId="7">
    <w:name w:val="页脚 Char"/>
    <w:basedOn w:val="5"/>
    <w:link w:val="2"/>
    <w:semiHidden/>
    <w:locked/>
    <w:uiPriority w:val="99"/>
    <w:rPr>
      <w:rFonts w:cs="Times New Roman"/>
      <w:sz w:val="18"/>
      <w:szCs w:val="18"/>
    </w:rPr>
  </w:style>
  <w:style w:type="character" w:customStyle="1" w:styleId="8">
    <w:name w:val="页眉 Char"/>
    <w:basedOn w:val="5"/>
    <w:link w:val="3"/>
    <w:semiHidden/>
    <w:locked/>
    <w:uiPriority w:val="99"/>
    <w:rPr>
      <w:rFonts w:cs="Times New Roman"/>
      <w:sz w:val="18"/>
      <w:szCs w:val="18"/>
    </w:rPr>
  </w:style>
  <w:style w:type="paragraph" w:customStyle="1" w:styleId="9">
    <w:name w:val="默认段落字体 Para Char Char Char Char Char Char Char"/>
    <w:basedOn w:val="1"/>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10</Pages>
  <Words>553</Words>
  <Characters>3156</Characters>
  <Lines>26</Lines>
  <Paragraphs>7</Paragraphs>
  <TotalTime>5</TotalTime>
  <ScaleCrop>false</ScaleCrop>
  <LinksUpToDate>false</LinksUpToDate>
  <CharactersWithSpaces>3702</CharactersWithSpaces>
  <Application>WPS Office_11.1.0.9292_F1E327BC-269C-435d-A152-05C5408002CA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2020-01-07T01:51:00Z</dcterms:created>
  <dc:creator>838</dc:creator>
  <cp:lastModifiedBy>Administrator</cp:lastModifiedBy>
  <dcterms:modified xsi:type="dcterms:W3CDTF">2020-01-07T07:41:24Z</dcterms:modified>
  <dc:title>国有资产评估费项目绩效评价报告</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2052-11.1.0.9292</vt:lpwstr>
  </property>
</Properties>
</file>