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ascii="宋体" w:hAnsi="宋体" w:cs="宋体"/>
          <w:b/>
          <w:bCs/>
          <w:sz w:val="36"/>
          <w:szCs w:val="36"/>
        </w:rPr>
        <w:t>耕地地力保护补贴和一事一议工作经费</w:t>
      </w:r>
      <w:r>
        <w:rPr>
          <w:rFonts w:hint="eastAsia" w:ascii="宋体"/>
          <w:b/>
          <w:bCs/>
          <w:sz w:val="36"/>
          <w:szCs w:val="32"/>
        </w:rPr>
        <w:t>项目</w:t>
      </w:r>
    </w:p>
    <w:p>
      <w:pPr>
        <w:spacing w:line="360" w:lineRule="auto"/>
        <w:jc w:val="center"/>
        <w:rPr>
          <w:rFonts w:ascii="华文楷体" w:eastAsia="华文楷体"/>
          <w:sz w:val="32"/>
          <w:szCs w:val="32"/>
        </w:rPr>
      </w:pPr>
      <w:r>
        <w:rPr>
          <w:rFonts w:hint="eastAsia" w:ascii="宋体"/>
          <w:b/>
          <w:bCs/>
          <w:sz w:val="36"/>
          <w:szCs w:val="32"/>
        </w:rPr>
        <w:t>绩效评价报告</w:t>
      </w:r>
    </w:p>
    <w:p>
      <w:pPr>
        <w:spacing w:line="360" w:lineRule="auto"/>
        <w:jc w:val="center"/>
        <w:rPr>
          <w:rFonts w:ascii="仿宋" w:hAnsi="仿宋" w:eastAsia="仿宋" w:cs="仿宋"/>
          <w:sz w:val="32"/>
          <w:szCs w:val="32"/>
        </w:rPr>
      </w:pP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2019年根底地力保护补贴和一事一议工作经费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1.项目实施单位；</w:t>
      </w:r>
    </w:p>
    <w:p>
      <w:pPr>
        <w:adjustRightInd w:val="0"/>
        <w:snapToGrid w:val="0"/>
        <w:spacing w:line="360" w:lineRule="auto"/>
        <w:ind w:firstLine="800" w:firstLineChars="250"/>
        <w:rPr>
          <w:rFonts w:ascii="仿宋_GB2312" w:eastAsia="仿宋_GB2312"/>
          <w:sz w:val="32"/>
          <w:szCs w:val="32"/>
        </w:rPr>
      </w:pPr>
      <w:r>
        <w:rPr>
          <w:rFonts w:hint="eastAsia" w:ascii="仿宋_GB2312" w:eastAsia="仿宋_GB2312"/>
          <w:sz w:val="32"/>
          <w:szCs w:val="32"/>
        </w:rPr>
        <w:t>石家庄市鹿泉区财政局农财科</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为顺利完成我区一事一议和耕地地力保护工作，组织培训两期，发放公告2000份，耕地地力保护政策明白纸10万张，购买办公用品、给乡镇发放微机耗材、租车费、一事一议监控系统服务费等。</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3.项目资金投入情况：一般公共预算，财政局安排2019年一事一议和耕地地力保护工作经费共10万元。</w:t>
      </w:r>
    </w:p>
    <w:p>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项目预期绩效总目标，阶段性（当年）的绩效目标和指标；2019年将经费全部支出，按上级文件要求，及时拨付补贴资金，使政策家喻户晓，圆满完成当年的工作任务及绩效目标和指标。</w:t>
      </w:r>
    </w:p>
    <w:p>
      <w:pPr>
        <w:adjustRightInd w:val="0"/>
        <w:snapToGrid w:val="0"/>
        <w:spacing w:line="360" w:lineRule="auto"/>
        <w:rPr>
          <w:rFonts w:ascii="黑体" w:hAnsi="黑体" w:eastAsia="黑体" w:cs="黑体"/>
          <w:b/>
          <w:bCs/>
          <w:sz w:val="32"/>
          <w:szCs w:val="32"/>
        </w:rPr>
      </w:pPr>
      <w:r>
        <w:rPr>
          <w:rFonts w:hint="eastAsia" w:ascii="黑体" w:hAnsi="黑体" w:eastAsia="黑体" w:cs="黑体"/>
          <w:b/>
          <w:bCs/>
          <w:sz w:val="32"/>
          <w:szCs w:val="32"/>
        </w:rPr>
        <w:t>二、绩效评价工作情况</w:t>
      </w:r>
    </w:p>
    <w:p>
      <w:pPr>
        <w:ind w:firstLine="480" w:firstLineChars="15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确定评价人员，负责</w:t>
      </w:r>
      <w:r>
        <w:rPr>
          <w:rFonts w:hint="eastAsia" w:ascii="仿宋_GB2312" w:eastAsia="仿宋_GB2312"/>
          <w:sz w:val="32"/>
          <w:szCs w:val="32"/>
        </w:rPr>
        <w:t>一事一议业务费和耕地地力保护工作</w:t>
      </w:r>
      <w:r>
        <w:rPr>
          <w:rFonts w:hint="eastAsia" w:ascii="仿宋_GB2312" w:hAnsi="仿宋_GB2312" w:eastAsia="仿宋_GB2312" w:cs="仿宋_GB2312"/>
          <w:sz w:val="32"/>
          <w:szCs w:val="32"/>
        </w:rPr>
        <w:t>项目自评工作的全程实施，按照绩效评价的要求收集相关资料，在分析资料的基础上，确定评价内容，并根据项目执行情况进行评评价，得出评价结论，最终撰写绩效评价报告。</w:t>
      </w:r>
    </w:p>
    <w:p>
      <w:pPr>
        <w:ind w:firstLine="480" w:firstLineChars="150"/>
        <w:jc w:val="left"/>
        <w:rPr>
          <w:rFonts w:ascii="仿宋_GB2312" w:hAnsi="仿宋_GB2312" w:eastAsia="仿宋_GB2312" w:cs="仿宋_GB2312"/>
          <w:sz w:val="32"/>
          <w:szCs w:val="32"/>
        </w:rPr>
      </w:pPr>
      <w:r>
        <w:rPr>
          <w:rFonts w:hint="eastAsia" w:ascii="楷体_GB2312" w:hAnsi="楷体_GB2312" w:eastAsia="楷体_GB2312" w:cs="楷体_GB2312"/>
          <w:sz w:val="32"/>
          <w:szCs w:val="32"/>
        </w:rPr>
        <w:t>（二）</w:t>
      </w:r>
      <w:r>
        <w:rPr>
          <w:rFonts w:hint="eastAsia" w:ascii="仿宋_GB2312" w:hAnsi="仿宋_GB2312" w:eastAsia="仿宋_GB2312" w:cs="仿宋_GB2312"/>
          <w:sz w:val="32"/>
          <w:szCs w:val="32"/>
        </w:rPr>
        <w:t>评价依据</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1.中共石家庄市鹿泉区委 石家庄市鹿泉区政府和《关于全面实施预算绩效管理的实施意见》（鹿发[2019]8号）</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2.《石家庄市鹿泉区区级部门预算绩效管理办法》</w:t>
      </w:r>
    </w:p>
    <w:p>
      <w:pPr>
        <w:ind w:firstLine="480" w:firstLineChars="15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（三）绩效评价的方法和过程</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本着科学、规范、独立、客观、公正的原则，</w:t>
      </w:r>
      <w:r>
        <w:rPr>
          <w:rFonts w:hint="eastAsia" w:ascii="仿宋" w:hAnsi="仿宋" w:eastAsia="仿宋" w:cs="仿宋"/>
          <w:sz w:val="32"/>
          <w:szCs w:val="32"/>
        </w:rPr>
        <w:t>采用定量与定性相结合，运用比较法、因素分析法</w:t>
      </w:r>
      <w:r>
        <w:rPr>
          <w:rFonts w:hint="eastAsia" w:ascii="仿宋_GB2312" w:hAnsi="仿宋_GB2312" w:eastAsia="仿宋_GB2312" w:cs="仿宋_GB2312"/>
          <w:sz w:val="32"/>
          <w:szCs w:val="32"/>
        </w:rPr>
        <w:t>等分析方法，对项目进行综合评价。</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前期准备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详细研读预算绩效有关政策文件以及预算绩效自评工作的任务要求，对预算绩效工作情况进行梳理，制定绩效评价工作方案。</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资料整理分析</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对单位全年耕地</w:t>
      </w:r>
      <w:r>
        <w:rPr>
          <w:rFonts w:hint="eastAsia" w:ascii="仿宋_GB2312" w:eastAsia="仿宋_GB2312"/>
          <w:sz w:val="32"/>
          <w:szCs w:val="32"/>
        </w:rPr>
        <w:t>地力保护补贴及一事一议业务费</w:t>
      </w:r>
      <w:r>
        <w:rPr>
          <w:rFonts w:hint="eastAsia" w:ascii="仿宋_GB2312" w:hAnsi="仿宋_GB2312" w:eastAsia="仿宋_GB2312" w:cs="仿宋_GB2312"/>
          <w:sz w:val="32"/>
          <w:szCs w:val="32"/>
        </w:rPr>
        <w:t>有关资料进行整理、汇总，并对资料进行分析。</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3.确定绩效评价内容。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在对所整理资料进行分析的基础上，根据年初确定的绩效目标，确定绩效评价内容。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4.形成正式绩效评价报告。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在对项目相关资料分析的基础上按照评价内容撰写评价报告，包括本次评价的项目基本情况、项目绩效目标、绩效评价工作情况、项目执行及绩效实现情况和项目综合评价结论，形成正式绩效评价报告。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5.整理归档。对评价过程中收集及形成的各种资料进行整理归档。</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项目立项情况分析。项目由区财政局农财科为实施主体，具体负责组织评估工作进行，设置了合理的绩效目标和明确的绩效指标。</w:t>
      </w:r>
    </w:p>
    <w:p>
      <w:pPr>
        <w:ind w:firstLine="480" w:firstLineChars="15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1.制定印发实施方案。</w:t>
      </w:r>
    </w:p>
    <w:p>
      <w:pPr>
        <w:ind w:firstLine="640" w:firstLineChars="200"/>
        <w:rPr>
          <w:rFonts w:ascii="仿宋_GB2312" w:eastAsia="仿宋_GB2312"/>
          <w:sz w:val="32"/>
          <w:szCs w:val="32"/>
        </w:rPr>
      </w:pPr>
      <w:r>
        <w:rPr>
          <w:rFonts w:hint="eastAsia" w:ascii="仿宋_GB2312" w:eastAsia="仿宋_GB2312"/>
          <w:sz w:val="32"/>
          <w:szCs w:val="32"/>
        </w:rPr>
        <w:t>2.下发开展项目工作通知。</w:t>
      </w:r>
    </w:p>
    <w:p>
      <w:pPr>
        <w:ind w:firstLine="640" w:firstLineChars="200"/>
        <w:rPr>
          <w:rFonts w:ascii="仿宋_GB2312" w:eastAsia="仿宋_GB2312"/>
          <w:sz w:val="32"/>
          <w:szCs w:val="32"/>
        </w:rPr>
      </w:pPr>
      <w:r>
        <w:rPr>
          <w:rFonts w:hint="eastAsia" w:ascii="仿宋_GB2312" w:eastAsia="仿宋_GB2312"/>
          <w:sz w:val="32"/>
          <w:szCs w:val="32"/>
        </w:rPr>
        <w:t>3.召开培训会。</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4.召开工作布置会。</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5.开展面积审核。</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7.面积上报汇总。</w:t>
      </w:r>
    </w:p>
    <w:p>
      <w:pPr>
        <w:ind w:firstLine="640" w:firstLineChars="200"/>
        <w:rPr>
          <w:rFonts w:ascii="仿宋_GB2312" w:eastAsia="仿宋_GB2312"/>
          <w:sz w:val="32"/>
          <w:szCs w:val="32"/>
        </w:rPr>
      </w:pPr>
      <w:r>
        <w:rPr>
          <w:rFonts w:hint="eastAsia" w:ascii="仿宋_GB2312" w:eastAsia="仿宋_GB2312"/>
          <w:sz w:val="32"/>
          <w:szCs w:val="32"/>
        </w:rPr>
        <w:t>8.制定资金分配方案。</w:t>
      </w:r>
    </w:p>
    <w:p>
      <w:pPr>
        <w:ind w:firstLine="320" w:firstLineChars="1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ind w:firstLine="480" w:firstLineChars="150"/>
        <w:rPr>
          <w:rFonts w:ascii="仿宋_GB2312" w:eastAsia="仿宋_GB2312"/>
          <w:sz w:val="32"/>
          <w:szCs w:val="32"/>
        </w:rPr>
      </w:pPr>
      <w:r>
        <w:rPr>
          <w:rFonts w:hint="eastAsia" w:ascii="仿宋_GB2312" w:eastAsia="仿宋_GB2312"/>
          <w:sz w:val="32"/>
          <w:szCs w:val="32"/>
        </w:rPr>
        <w:t>全年组织培训两期，项目实际完成率100%，第一季度资金支出25%,第二季度资金支出50%，第三季度资金支出75%，第四季度资金支出100%。</w:t>
      </w:r>
    </w:p>
    <w:p>
      <w:pPr>
        <w:ind w:firstLine="320" w:firstLineChars="100"/>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对项目的经济效益、社会效益、生态效益、可持续影响和社会公众或服务对象满意度等情况进行分析后，根据指标体系评分标准计算分值。</w:t>
      </w:r>
    </w:p>
    <w:p>
      <w:pPr>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w:t>
      </w:r>
    </w:p>
    <w:p>
      <w:pPr>
        <w:ind w:firstLine="640" w:firstLineChars="200"/>
        <w:rPr>
          <w:rFonts w:ascii="??_GB2312"/>
          <w:sz w:val="32"/>
          <w:szCs w:val="32"/>
        </w:rPr>
      </w:pPr>
      <w:r>
        <w:rPr>
          <w:rFonts w:hint="eastAsia" w:ascii="仿宋_GB2312" w:eastAsia="仿宋_GB2312"/>
          <w:sz w:val="32"/>
          <w:szCs w:val="32"/>
        </w:rPr>
        <w:t>根据以上情况，2019年度耕地地力保护补贴和一事一议工作经费资金支付100%，项目达到了预期目标，综合评定90分，达到优秀标准</w:t>
      </w:r>
      <w:r>
        <w:rPr>
          <w:rFonts w:hint="eastAsia" w:ascii="??_GB2312"/>
          <w:sz w:val="32"/>
          <w:szCs w:val="32"/>
        </w:rPr>
        <w:t>。</w:t>
      </w:r>
    </w:p>
    <w:p>
      <w:pPr>
        <w:rPr>
          <w:rFonts w:ascii="仿宋_GB2312" w:eastAsia="仿宋_GB2312"/>
          <w:sz w:val="32"/>
          <w:szCs w:val="32"/>
        </w:rPr>
      </w:pPr>
      <w:r>
        <w:rPr>
          <w:rFonts w:hint="eastAsia" w:ascii="黑体" w:hAnsi="黑体" w:eastAsia="黑体"/>
          <w:sz w:val="32"/>
          <w:szCs w:val="32"/>
        </w:rPr>
        <w:t>五、存在的问题及改进措施</w:t>
      </w:r>
    </w:p>
    <w:p>
      <w:pPr>
        <w:ind w:firstLine="480" w:firstLineChars="150"/>
        <w:rPr>
          <w:rFonts w:hint="eastAsia" w:ascii="仿宋_GB2312" w:eastAsia="仿宋_GB2312"/>
          <w:sz w:val="32"/>
          <w:szCs w:val="32"/>
        </w:rPr>
      </w:pPr>
      <w:r>
        <w:rPr>
          <w:rFonts w:hint="eastAsia" w:ascii="仿宋_GB2312" w:eastAsia="仿宋_GB2312"/>
          <w:sz w:val="32"/>
          <w:szCs w:val="32"/>
        </w:rPr>
        <w:t>（一）项目存在的主要问题</w:t>
      </w:r>
    </w:p>
    <w:p>
      <w:pPr>
        <w:ind w:firstLine="640" w:firstLineChars="200"/>
        <w:rPr>
          <w:rFonts w:ascii="仿宋_GB2312" w:eastAsia="仿宋_GB2312"/>
          <w:sz w:val="32"/>
          <w:szCs w:val="32"/>
        </w:rPr>
      </w:pPr>
      <w:r>
        <w:rPr>
          <w:rFonts w:hint="eastAsia" w:ascii="仿宋_GB2312" w:eastAsia="仿宋_GB2312"/>
          <w:sz w:val="32"/>
          <w:szCs w:val="32"/>
        </w:rPr>
        <w:t>1.乡（镇）政府不重视。</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2.上报耕补面积错漏报等现象。</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3.补贴面积核实工作中存在畏难思想。</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4.不严格按耕补程序开展工作。</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5.基层人员少、年龄老化。</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6.缺少工作经费。</w:t>
      </w:r>
      <w:r>
        <w:rPr>
          <w:rFonts w:ascii="仿宋_GB2312" w:eastAsia="仿宋_GB2312"/>
          <w:sz w:val="32"/>
          <w:szCs w:val="32"/>
        </w:rPr>
        <w:t xml:space="preserve"> </w:t>
      </w:r>
    </w:p>
    <w:p>
      <w:pPr>
        <w:ind w:firstLine="640" w:firstLineChars="200"/>
        <w:rPr>
          <w:rFonts w:ascii="仿宋_GB2312" w:eastAsia="仿宋_GB2312"/>
          <w:sz w:val="32"/>
          <w:szCs w:val="32"/>
        </w:rPr>
      </w:pPr>
      <w:r>
        <w:rPr>
          <w:rFonts w:hint="eastAsia" w:ascii="仿宋_GB2312" w:eastAsia="仿宋_GB2312"/>
          <w:sz w:val="32"/>
          <w:szCs w:val="32"/>
        </w:rPr>
        <w:t>7.档案归档管理不规范</w:t>
      </w:r>
    </w:p>
    <w:p>
      <w:pPr>
        <w:rPr>
          <w:rFonts w:hint="eastAsia"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ind w:firstLine="640" w:firstLineChars="200"/>
        <w:rPr>
          <w:rFonts w:ascii="楷体_GB2312" w:hAnsi="楷体_GB2312" w:eastAsia="楷体_GB2312"/>
          <w:sz w:val="32"/>
          <w:szCs w:val="32"/>
        </w:rPr>
      </w:pPr>
      <w:r>
        <w:rPr>
          <w:rFonts w:hint="eastAsia" w:ascii="仿宋_GB2312" w:eastAsia="仿宋_GB2312"/>
          <w:color w:val="000000"/>
          <w:sz w:val="32"/>
          <w:szCs w:val="32"/>
        </w:rPr>
        <w:t>对不按时间节点完成耕补工作的乡（镇），继续跟踪督促按照完成各项耕补工作，收集完善各种档案材料。</w:t>
      </w:r>
    </w:p>
    <w:p>
      <w:p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六、评价工作组人员名单：</w:t>
      </w:r>
    </w:p>
    <w:p>
      <w:pPr>
        <w:adjustRightInd w:val="0"/>
        <w:snapToGrid w:val="0"/>
        <w:spacing w:line="360" w:lineRule="auto"/>
        <w:ind w:firstLine="640" w:firstLineChars="200"/>
        <w:rPr>
          <w:rFonts w:ascii="仿宋_GB2312" w:eastAsia="仿宋_GB2312"/>
          <w:color w:val="000000"/>
          <w:sz w:val="32"/>
          <w:szCs w:val="32"/>
        </w:rPr>
      </w:pPr>
      <w:r>
        <w:rPr>
          <w:rFonts w:hint="eastAsia" w:ascii="仿宋_GB2312" w:eastAsia="仿宋_GB2312"/>
          <w:color w:val="000000"/>
          <w:sz w:val="32"/>
          <w:szCs w:val="32"/>
        </w:rPr>
        <w:t>刘建斌、葛卫涛、闫国新、石晓丽</w:t>
      </w:r>
    </w:p>
    <w:p>
      <w:pPr>
        <w:rPr>
          <w:rFonts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w:t>
      </w:r>
    </w:p>
    <w:p>
      <w:pPr>
        <w:adjustRightInd w:val="0"/>
        <w:spacing w:line="360" w:lineRule="auto"/>
        <w:ind w:firstLine="640" w:firstLineChars="200"/>
        <w:rPr>
          <w:rFonts w:hint="eastAsia" w:ascii="仿宋_GB2312" w:hAnsi="宋体" w:eastAsia="仿宋_GB2312"/>
          <w:sz w:val="32"/>
          <w:szCs w:val="32"/>
          <w:lang w:val="en-US" w:eastAsia="zh-CN"/>
        </w:rPr>
      </w:pPr>
    </w:p>
    <w:p>
      <w:pPr>
        <w:adjustRightInd w:val="0"/>
        <w:spacing w:line="360" w:lineRule="auto"/>
        <w:ind w:firstLine="640" w:firstLineChars="200"/>
        <w:rPr>
          <w:rFonts w:hint="eastAsia" w:ascii="仿宋_GB2312" w:hAnsi="宋体" w:eastAsia="仿宋_GB2312"/>
          <w:sz w:val="32"/>
          <w:szCs w:val="32"/>
          <w:lang w:val="en-US" w:eastAsia="zh-CN"/>
        </w:rPr>
      </w:pPr>
    </w:p>
    <w:p>
      <w:pPr>
        <w:adjustRightInd w:val="0"/>
        <w:spacing w:line="360" w:lineRule="auto"/>
        <w:ind w:firstLine="640" w:firstLineChars="200"/>
        <w:rPr>
          <w:rFonts w:hint="eastAsia" w:ascii="仿宋_GB2312" w:hAnsi="宋体" w:eastAsia="仿宋_GB2312"/>
          <w:sz w:val="32"/>
          <w:szCs w:val="32"/>
          <w:lang w:val="en-US" w:eastAsia="zh-CN"/>
        </w:rPr>
      </w:pPr>
    </w:p>
    <w:p>
      <w:pPr>
        <w:adjustRightInd w:val="0"/>
        <w:spacing w:line="360" w:lineRule="auto"/>
        <w:ind w:firstLine="640" w:firstLineChars="200"/>
        <w:rPr>
          <w:rFonts w:hint="eastAsia" w:ascii="仿宋_GB2312" w:hAnsi="宋体" w:eastAsia="仿宋_GB2312"/>
          <w:sz w:val="32"/>
          <w:szCs w:val="32"/>
          <w:lang w:val="en-US" w:eastAsia="zh-CN"/>
        </w:rPr>
      </w:pPr>
    </w:p>
    <w:p>
      <w:pPr>
        <w:adjustRightInd w:val="0"/>
        <w:spacing w:line="360" w:lineRule="auto"/>
        <w:ind w:firstLine="640" w:firstLineChars="200"/>
        <w:rPr>
          <w:rFonts w:hint="default" w:ascii="仿宋_GB2312" w:hAnsi="宋体" w:eastAsia="仿宋_GB2312"/>
          <w:sz w:val="32"/>
          <w:szCs w:val="32"/>
          <w:lang w:val="en-US" w:eastAsia="zh-CN"/>
        </w:rPr>
      </w:pPr>
      <w:bookmarkStart w:id="0" w:name="_GoBack"/>
      <w:bookmarkEnd w:id="0"/>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hAnsi="宋体"/>
          <w:b/>
          <w:color w:val="000000"/>
          <w:sz w:val="32"/>
          <w:shd w:val="clear" w:color="auto" w:fill="FFFFFF"/>
        </w:rPr>
      </w:pPr>
      <w:r>
        <w:rPr>
          <w:rFonts w:ascii="宋体" w:hAnsi="宋体"/>
          <w:b/>
          <w:color w:val="000000"/>
          <w:sz w:val="32"/>
          <w:shd w:val="clear" w:color="auto" w:fill="FFFFFF"/>
        </w:rPr>
        <w:t>项目支出绩效评价共性指标体系框架</w:t>
      </w:r>
    </w:p>
    <w:tbl>
      <w:tblPr>
        <w:tblStyle w:val="5"/>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Arial">
    <w:panose1 w:val="020B0604020202020204"/>
    <w:charset w:val="00"/>
    <w:family w:val="swiss"/>
    <w:pitch w:val="default"/>
    <w:sig w:usb0="E0002AFF" w:usb1="C0007843" w:usb2="00000009" w:usb3="00000000" w:csb0="400001FF" w:csb1="FFFF0000"/>
  </w:font>
  <w:font w:name="??_GB2312">
    <w:altName w:val="Times New Roman"/>
    <w:panose1 w:val="00000000000000000000"/>
    <w:charset w:val="00"/>
    <w:family w:val="auto"/>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2F4CE"/>
    <w:multiLevelType w:val="singleLevel"/>
    <w:tmpl w:val="5E12F4CE"/>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47694"/>
    <w:rsid w:val="00153095"/>
    <w:rsid w:val="00227F94"/>
    <w:rsid w:val="00413EA7"/>
    <w:rsid w:val="004D3BB6"/>
    <w:rsid w:val="00565F7A"/>
    <w:rsid w:val="00593BD0"/>
    <w:rsid w:val="006615A6"/>
    <w:rsid w:val="006E1BA8"/>
    <w:rsid w:val="00764321"/>
    <w:rsid w:val="00866E30"/>
    <w:rsid w:val="00AE52F2"/>
    <w:rsid w:val="00B71F4D"/>
    <w:rsid w:val="00BE4023"/>
    <w:rsid w:val="00C34DA0"/>
    <w:rsid w:val="00CE021B"/>
    <w:rsid w:val="00D35C34"/>
    <w:rsid w:val="00E15B7D"/>
    <w:rsid w:val="00E36C24"/>
    <w:rsid w:val="00EF11A4"/>
    <w:rsid w:val="00F01C93"/>
    <w:rsid w:val="16231A34"/>
    <w:rsid w:val="1F3A7A57"/>
    <w:rsid w:val="22F8723F"/>
    <w:rsid w:val="2A2941B7"/>
    <w:rsid w:val="3DE752EC"/>
    <w:rsid w:val="4A504631"/>
    <w:rsid w:val="51B163DF"/>
    <w:rsid w:val="5C06042D"/>
    <w:rsid w:val="77B70516"/>
    <w:rsid w:val="7C173C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Strong"/>
    <w:basedOn w:val="6"/>
    <w:qFormat/>
    <w:uiPriority w:val="22"/>
    <w:rPr>
      <w:b/>
      <w:bCs/>
    </w:rPr>
  </w:style>
  <w:style w:type="character" w:styleId="8">
    <w:name w:val="page number"/>
    <w:basedOn w:val="6"/>
    <w:qFormat/>
    <w:uiPriority w:val="0"/>
  </w:style>
  <w:style w:type="paragraph" w:customStyle="1" w:styleId="9">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647</Words>
  <Characters>3694</Characters>
  <Lines>30</Lines>
  <Paragraphs>8</Paragraphs>
  <TotalTime>70</TotalTime>
  <ScaleCrop>false</ScaleCrop>
  <LinksUpToDate>false</LinksUpToDate>
  <CharactersWithSpaces>4333</CharactersWithSpaces>
  <Application>WPS Office_11.1.0.9292_F1E327BC-269C-435d-A152-05C5408002CA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2020-01-07T07:36:57Z</cp:lastPrinted>
  <dcterms:modified xsi:type="dcterms:W3CDTF">2020-01-07T07:37:16Z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