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b/>
          <w:bCs/>
          <w:sz w:val="44"/>
          <w:szCs w:val="44"/>
        </w:rPr>
      </w:pPr>
      <w:r>
        <w:rPr>
          <w:rFonts w:hint="eastAsia" w:ascii="方正小标宋简体" w:hAnsi="方正小标宋简体" w:eastAsia="方正小标宋简体" w:cs="方正小标宋简体"/>
          <w:b/>
          <w:bCs/>
          <w:sz w:val="44"/>
          <w:szCs w:val="44"/>
          <w:lang w:val="en-US" w:eastAsia="zh-CN"/>
        </w:rPr>
        <w:t>2019年司法局政府法制</w:t>
      </w:r>
      <w:r>
        <w:rPr>
          <w:rFonts w:hint="eastAsia" w:ascii="方正小标宋简体" w:hAnsi="方正小标宋简体" w:eastAsia="方正小标宋简体" w:cs="方正小标宋简体"/>
          <w:b/>
          <w:bCs/>
          <w:sz w:val="44"/>
          <w:szCs w:val="44"/>
        </w:rPr>
        <w:t>项目绩效评价</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ascii="仿宋" w:hAnsi="仿宋" w:eastAsia="仿宋" w:cs="仿宋"/>
          <w:sz w:val="32"/>
          <w:szCs w:val="32"/>
        </w:rPr>
      </w:pPr>
      <w:r>
        <w:rPr>
          <w:rFonts w:hint="eastAsia" w:ascii="方正小标宋简体" w:hAnsi="方正小标宋简体" w:eastAsia="方正小标宋简体" w:cs="方正小标宋简体"/>
          <w:b/>
          <w:bCs/>
          <w:sz w:val="44"/>
          <w:szCs w:val="44"/>
        </w:rPr>
        <w:t>报告</w:t>
      </w:r>
    </w:p>
    <w:p>
      <w:pPr>
        <w:spacing w:line="360" w:lineRule="auto"/>
        <w:jc w:val="center"/>
        <w:rPr>
          <w:rFonts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sz w:val="32"/>
          <w:szCs w:val="32"/>
          <w:lang w:val="en-US" w:eastAsia="zh-CN"/>
        </w:rPr>
        <w:t>我单位对2019年部门整体支出进行了自评，</w:t>
      </w:r>
      <w:r>
        <w:rPr>
          <w:rFonts w:hint="eastAsia" w:ascii="仿宋_GB2312" w:eastAsia="仿宋_GB2312"/>
          <w:sz w:val="32"/>
          <w:szCs w:val="32"/>
        </w:rPr>
        <w:t>形成本评价报告。</w:t>
      </w:r>
    </w:p>
    <w:p>
      <w:pPr>
        <w:adjustRightInd w:val="0"/>
        <w:snapToGrid w:val="0"/>
        <w:spacing w:line="360" w:lineRule="auto"/>
        <w:ind w:firstLine="640" w:firstLineChars="200"/>
        <w:rPr>
          <w:rFonts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eastAsia="zh-CN"/>
        </w:rPr>
        <w:t>政府法制项目涉及行政执法监督、政府法律顾问、行政复议应诉。</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年度政府法制</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经费金额为</w:t>
      </w:r>
      <w:r>
        <w:rPr>
          <w:rFonts w:ascii="仿宋_GB2312" w:hAnsi="仿宋_GB2312" w:eastAsia="仿宋_GB2312" w:cs="仿宋_GB2312"/>
          <w:sz w:val="32"/>
          <w:szCs w:val="32"/>
        </w:rPr>
        <w:t>30</w:t>
      </w:r>
      <w:r>
        <w:rPr>
          <w:rFonts w:hint="eastAsia" w:ascii="仿宋_GB2312" w:hAnsi="仿宋_GB2312" w:eastAsia="仿宋_GB2312" w:cs="仿宋_GB2312"/>
          <w:sz w:val="32"/>
          <w:szCs w:val="32"/>
        </w:rPr>
        <w:t>万元，</w:t>
      </w:r>
      <w:r>
        <w:rPr>
          <w:rFonts w:hint="eastAsia" w:ascii="仿宋_GB2312" w:eastAsia="仿宋_GB2312"/>
          <w:sz w:val="32"/>
          <w:szCs w:val="32"/>
          <w:lang w:val="en-US" w:eastAsia="zh-CN"/>
        </w:rPr>
        <w:t>其中行政执法监督10万元、政府法律顾问经费10万元、行政复议、应诉经费10万元。</w:t>
      </w:r>
    </w:p>
    <w:p>
      <w:pPr>
        <w:adjustRightInd w:val="0"/>
        <w:snapToGrid w:val="0"/>
        <w:spacing w:line="360" w:lineRule="auto"/>
        <w:ind w:firstLine="640" w:firstLineChars="2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行政执法监督项目预期绩效目标：</w:t>
      </w:r>
      <w:r>
        <w:rPr>
          <w:rFonts w:hint="eastAsia" w:ascii="仿宋_GB2312" w:eastAsia="仿宋_GB2312"/>
          <w:sz w:val="32"/>
          <w:szCs w:val="32"/>
          <w:lang w:val="en-US" w:eastAsia="zh-CN"/>
        </w:rPr>
        <w:t>1、贯彻落实行政执法三项制度，完善行政执法公示平台建设</w:t>
      </w:r>
      <w:r>
        <w:rPr>
          <w:rFonts w:hint="eastAsia" w:ascii="仿宋_GB2312" w:eastAsia="仿宋_GB2312"/>
          <w:sz w:val="32"/>
          <w:szCs w:val="32"/>
        </w:rPr>
        <w:t>；</w:t>
      </w:r>
      <w:r>
        <w:rPr>
          <w:rFonts w:hint="eastAsia" w:ascii="仿宋_GB2312" w:eastAsia="仿宋_GB2312"/>
          <w:sz w:val="32"/>
          <w:szCs w:val="32"/>
          <w:lang w:val="en-US" w:eastAsia="zh-CN"/>
        </w:rPr>
        <w:t>2、组织开展全区行政执法人员培训及考试。</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政府法律顾问项目预期绩效目标：1、组织</w:t>
      </w:r>
      <w:r>
        <w:rPr>
          <w:rFonts w:hint="eastAsia" w:ascii="仿宋_GB2312" w:hAnsi="仿宋_GB2312" w:eastAsia="仿宋_GB2312" w:cs="仿宋_GB2312"/>
          <w:sz w:val="32"/>
          <w:szCs w:val="32"/>
        </w:rPr>
        <w:t>政府法律顾问需全程列席区政府常务会重大行政决策事项的研讨，参与区政府单项工作的行政研究及涉法事务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2、在</w:t>
      </w:r>
      <w:r>
        <w:rPr>
          <w:rFonts w:hint="eastAsia" w:ascii="仿宋_GB2312" w:hAnsi="仿宋_GB2312" w:eastAsia="仿宋_GB2312" w:cs="仿宋_GB2312"/>
          <w:sz w:val="32"/>
          <w:szCs w:val="32"/>
        </w:rPr>
        <w:t>重大案件处理和重点领域专项整治过程中</w:t>
      </w:r>
      <w:r>
        <w:rPr>
          <w:rFonts w:hint="eastAsia" w:ascii="仿宋_GB2312" w:hAnsi="仿宋_GB2312" w:eastAsia="仿宋_GB2312" w:cs="仿宋_GB2312"/>
          <w:sz w:val="32"/>
          <w:szCs w:val="32"/>
          <w:lang w:eastAsia="zh-CN"/>
        </w:rPr>
        <w:t>，负责</w:t>
      </w:r>
      <w:r>
        <w:rPr>
          <w:rFonts w:hint="eastAsia" w:ascii="仿宋_GB2312" w:hAnsi="仿宋_GB2312" w:eastAsia="仿宋_GB2312" w:cs="仿宋_GB2312"/>
          <w:sz w:val="32"/>
          <w:szCs w:val="32"/>
        </w:rPr>
        <w:t>聘请专业法律顾问团队参与法律咨询指导</w:t>
      </w:r>
      <w:r>
        <w:rPr>
          <w:rFonts w:hint="eastAsia" w:ascii="仿宋_GB2312" w:eastAsia="仿宋_GB2312"/>
          <w:sz w:val="32"/>
          <w:szCs w:val="32"/>
          <w:lang w:val="en-US" w:eastAsia="zh-CN"/>
        </w:rPr>
        <w:t>。</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行政复议、应诉项目预期绩效目标：1、按照《河北省行政复议案件办理程序规定》设置行政复议接待、听证室并完善相应的配套设施；2、进一步完善行政复议为民便民服务措施；3、依法办理行政复议、应诉案件；4、按要求作好复议、应诉案卷归档工作。</w:t>
      </w:r>
    </w:p>
    <w:p>
      <w:pPr>
        <w:ind w:firstLine="643" w:firstLineChars="200"/>
        <w:rPr>
          <w:rFonts w:ascii="黑体" w:hAnsi="黑体" w:eastAsia="黑体" w:cs="黑体"/>
          <w:b/>
          <w:bCs/>
          <w:sz w:val="32"/>
          <w:szCs w:val="32"/>
        </w:rPr>
      </w:pPr>
      <w:r>
        <w:rPr>
          <w:rFonts w:hint="eastAsia" w:ascii="黑体" w:hAnsi="黑体" w:eastAsia="黑体" w:cs="黑体"/>
          <w:b/>
          <w:bCs/>
          <w:sz w:val="32"/>
          <w:szCs w:val="32"/>
        </w:rPr>
        <w:t>二、</w:t>
      </w:r>
      <w:r>
        <w:rPr>
          <w:rFonts w:hint="eastAsia" w:ascii="黑体" w:hAnsi="黑体" w:eastAsia="黑体" w:cs="黑体"/>
          <w:sz w:val="32"/>
          <w:szCs w:val="32"/>
        </w:rPr>
        <w:t>项目执行及绩效实现情况</w:t>
      </w:r>
    </w:p>
    <w:p>
      <w:pPr>
        <w:ind w:firstLine="640" w:firstLineChars="200"/>
        <w:rPr>
          <w:rFonts w:hint="eastAsia" w:ascii="仿宋" w:hAnsi="仿宋" w:eastAsia="仿宋"/>
          <w:b w:val="0"/>
          <w:bCs/>
          <w:sz w:val="32"/>
          <w:szCs w:val="32"/>
          <w:lang w:val="en-US" w:eastAsia="zh-CN"/>
        </w:rPr>
      </w:pPr>
      <w:r>
        <w:rPr>
          <w:rFonts w:hint="eastAsia" w:ascii="仿宋_GB2312" w:eastAsia="仿宋_GB2312"/>
          <w:sz w:val="32"/>
          <w:szCs w:val="32"/>
          <w:lang w:eastAsia="zh-CN"/>
        </w:rPr>
        <w:t>行政执法监督项目执行及绩效实现情况：</w:t>
      </w:r>
      <w:r>
        <w:rPr>
          <w:rFonts w:hint="eastAsia" w:ascii="仿宋_GB2312" w:eastAsia="仿宋_GB2312"/>
          <w:b/>
          <w:bCs/>
          <w:sz w:val="32"/>
          <w:szCs w:val="32"/>
          <w:lang w:eastAsia="zh-CN"/>
        </w:rPr>
        <w:t>一是</w:t>
      </w:r>
      <w:r>
        <w:rPr>
          <w:rFonts w:hint="eastAsia" w:ascii="仿宋_GB2312" w:eastAsia="仿宋_GB2312"/>
          <w:sz w:val="32"/>
          <w:szCs w:val="32"/>
          <w:lang w:eastAsia="zh-CN"/>
        </w:rPr>
        <w:t>我们</w:t>
      </w:r>
      <w:r>
        <w:rPr>
          <w:rFonts w:hint="eastAsia" w:ascii="仿宋" w:hAnsi="仿宋" w:eastAsia="仿宋"/>
          <w:b w:val="0"/>
          <w:bCs/>
          <w:sz w:val="32"/>
          <w:szCs w:val="32"/>
        </w:rPr>
        <w:t>秉乘“互联网+政务服务”的运作模式并以此为依托，主动与互联网平台运营商联系，对原有的区执法公示信息平台积极进行维护完善，并按区行政执法“三项制度”实施方案时间节点工作要求及时督导全区行政执法部门结合机构改革、人员调整完成执法主体名称变更、新增统计工作及执法权限、执法人员名单上报梳理工作。</w:t>
      </w:r>
      <w:r>
        <w:rPr>
          <w:rFonts w:hint="eastAsia" w:ascii="仿宋" w:hAnsi="仿宋" w:eastAsia="仿宋"/>
          <w:b/>
          <w:bCs w:val="0"/>
          <w:sz w:val="32"/>
          <w:szCs w:val="32"/>
          <w:lang w:eastAsia="zh-CN"/>
        </w:rPr>
        <w:t>二是</w:t>
      </w:r>
      <w:r>
        <w:rPr>
          <w:rFonts w:hint="eastAsia" w:ascii="仿宋" w:hAnsi="仿宋" w:eastAsia="仿宋"/>
          <w:b w:val="0"/>
          <w:bCs/>
          <w:sz w:val="32"/>
          <w:szCs w:val="32"/>
          <w:lang w:eastAsia="zh-CN"/>
        </w:rPr>
        <w:t>与北京华夏金财富教育科技有限公司签订《行政执法人员网上培训合作协议》，统一对我区</w:t>
      </w:r>
      <w:r>
        <w:rPr>
          <w:rFonts w:hint="eastAsia" w:ascii="仿宋" w:hAnsi="仿宋" w:eastAsia="仿宋"/>
          <w:b w:val="0"/>
          <w:bCs/>
          <w:sz w:val="32"/>
          <w:szCs w:val="32"/>
          <w:lang w:val="en-US" w:eastAsia="zh-CN"/>
        </w:rPr>
        <w:t>1124名行政执法人员通过网络进行了培训、考试。</w:t>
      </w:r>
    </w:p>
    <w:p>
      <w:pPr>
        <w:ind w:firstLine="640" w:firstLineChars="200"/>
        <w:rPr>
          <w:rFonts w:hint="eastAsia" w:ascii="仿宋_GB2312" w:hAnsi="仿宋_GB2312" w:eastAsia="仿宋_GB2312" w:cs="仿宋_GB2312"/>
          <w:sz w:val="32"/>
          <w:szCs w:val="32"/>
        </w:rPr>
      </w:pPr>
      <w:r>
        <w:rPr>
          <w:rFonts w:hint="eastAsia" w:ascii="仿宋_GB2312" w:eastAsia="仿宋_GB2312"/>
          <w:sz w:val="32"/>
          <w:szCs w:val="32"/>
          <w:lang w:eastAsia="zh-CN"/>
        </w:rPr>
        <w:t>政府法律顾问项目执行及绩效实现情况：</w:t>
      </w:r>
      <w:r>
        <w:rPr>
          <w:rFonts w:hint="eastAsia" w:ascii="仿宋_GB2312" w:eastAsia="仿宋_GB2312"/>
          <w:b/>
          <w:bCs/>
          <w:sz w:val="32"/>
          <w:szCs w:val="32"/>
          <w:lang w:eastAsia="zh-CN"/>
        </w:rPr>
        <w:t>一是</w:t>
      </w:r>
      <w:r>
        <w:rPr>
          <w:rFonts w:hint="eastAsia" w:ascii="仿宋_GB2312" w:eastAsia="仿宋_GB2312"/>
          <w:sz w:val="32"/>
          <w:szCs w:val="32"/>
          <w:lang w:eastAsia="zh-CN"/>
        </w:rPr>
        <w:t>组织</w:t>
      </w:r>
      <w:r>
        <w:rPr>
          <w:rFonts w:hint="eastAsia" w:ascii="仿宋_GB2312" w:hAnsi="仿宋_GB2312" w:eastAsia="仿宋_GB2312" w:cs="仿宋_GB2312"/>
          <w:sz w:val="32"/>
          <w:szCs w:val="32"/>
        </w:rPr>
        <w:t>政府法律顾问共参与区政府重大行政决策事项研讨和办理涉法事务事项共</w:t>
      </w:r>
      <w:r>
        <w:rPr>
          <w:rFonts w:ascii="仿宋_GB2312" w:hAnsi="仿宋_GB2312" w:eastAsia="仿宋_GB2312" w:cs="仿宋_GB2312"/>
          <w:sz w:val="32"/>
          <w:szCs w:val="32"/>
        </w:rPr>
        <w:t>88</w:t>
      </w:r>
      <w:r>
        <w:rPr>
          <w:rFonts w:hint="eastAsia" w:ascii="仿宋_GB2312" w:hAnsi="仿宋_GB2312" w:eastAsia="仿宋_GB2312" w:cs="仿宋_GB2312"/>
          <w:sz w:val="32"/>
          <w:szCs w:val="32"/>
        </w:rPr>
        <w:t>件次，参与政策文件合法性审核</w:t>
      </w:r>
      <w:r>
        <w:rPr>
          <w:rFonts w:ascii="仿宋_GB2312" w:hAnsi="仿宋_GB2312" w:eastAsia="仿宋_GB2312" w:cs="仿宋_GB2312"/>
          <w:sz w:val="32"/>
          <w:szCs w:val="32"/>
        </w:rPr>
        <w:t>36</w:t>
      </w:r>
      <w:r>
        <w:rPr>
          <w:rFonts w:hint="eastAsia" w:ascii="仿宋_GB2312" w:hAnsi="仿宋_GB2312" w:eastAsia="仿宋_GB2312" w:cs="仿宋_GB2312"/>
          <w:sz w:val="32"/>
          <w:szCs w:val="32"/>
        </w:rPr>
        <w:t>件。</w:t>
      </w:r>
      <w:r>
        <w:rPr>
          <w:rFonts w:hint="eastAsia" w:ascii="仿宋_GB2312" w:hAnsi="仿宋_GB2312" w:eastAsia="仿宋_GB2312" w:cs="仿宋_GB2312"/>
          <w:b/>
          <w:bCs/>
          <w:sz w:val="32"/>
          <w:szCs w:val="32"/>
          <w:lang w:eastAsia="zh-CN"/>
        </w:rPr>
        <w:t>二是</w:t>
      </w:r>
      <w:r>
        <w:rPr>
          <w:rFonts w:hint="eastAsia" w:ascii="仿宋_GB2312" w:hAnsi="仿宋_GB2312" w:eastAsia="仿宋_GB2312" w:cs="仿宋_GB2312"/>
          <w:sz w:val="32"/>
          <w:szCs w:val="32"/>
          <w:lang w:eastAsia="zh-CN"/>
        </w:rPr>
        <w:t>针对</w:t>
      </w:r>
      <w:r>
        <w:rPr>
          <w:rFonts w:hint="eastAsia" w:ascii="仿宋_GB2312" w:hAnsi="仿宋_GB2312" w:eastAsia="仿宋_GB2312" w:cs="仿宋_GB2312"/>
          <w:sz w:val="32"/>
          <w:szCs w:val="32"/>
        </w:rPr>
        <w:t>重大特殊案件</w:t>
      </w:r>
      <w:r>
        <w:rPr>
          <w:rFonts w:hint="eastAsia" w:ascii="仿宋_GB2312" w:hAnsi="仿宋_GB2312" w:eastAsia="仿宋_GB2312" w:cs="仿宋_GB2312"/>
          <w:sz w:val="32"/>
          <w:szCs w:val="32"/>
          <w:lang w:eastAsia="zh-CN"/>
        </w:rPr>
        <w:t>（西美</w:t>
      </w:r>
      <w:r>
        <w:rPr>
          <w:rFonts w:hint="eastAsia" w:ascii="仿宋_GB2312" w:hAnsi="仿宋_GB2312" w:eastAsia="仿宋_GB2312" w:cs="仿宋_GB2312"/>
          <w:sz w:val="32"/>
          <w:szCs w:val="32"/>
          <w:lang w:val="en-US" w:eastAsia="zh-CN"/>
        </w:rPr>
        <w:t>·金山湖项目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外聘</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专业法律顾问。</w:t>
      </w:r>
    </w:p>
    <w:p>
      <w:pPr>
        <w:ind w:firstLine="640" w:firstLineChars="200"/>
        <w:rPr>
          <w:rFonts w:hint="default" w:ascii="仿宋_GB2312" w:hAnsi="仿宋_GB2312" w:eastAsia="仿宋_GB2312" w:cs="仿宋_GB2312"/>
          <w:b w:val="0"/>
          <w:bCs w:val="0"/>
          <w:sz w:val="32"/>
          <w:szCs w:val="32"/>
          <w:lang w:val="en-US" w:eastAsia="zh-CN"/>
        </w:rPr>
      </w:pPr>
      <w:r>
        <w:rPr>
          <w:rFonts w:hint="eastAsia" w:ascii="仿宋_GB2312" w:eastAsia="仿宋_GB2312"/>
          <w:sz w:val="32"/>
          <w:szCs w:val="32"/>
          <w:lang w:val="en-US" w:eastAsia="zh-CN"/>
        </w:rPr>
        <w:t>行政复议、应诉项目</w:t>
      </w:r>
      <w:r>
        <w:rPr>
          <w:rFonts w:hint="eastAsia" w:ascii="仿宋_GB2312" w:eastAsia="仿宋_GB2312"/>
          <w:sz w:val="32"/>
          <w:szCs w:val="32"/>
          <w:lang w:eastAsia="zh-CN"/>
        </w:rPr>
        <w:t>执行及绩效实现情况：</w:t>
      </w:r>
      <w:r>
        <w:rPr>
          <w:rFonts w:hint="eastAsia" w:ascii="仿宋_GB2312" w:hAnsi="仿宋_GB2312" w:eastAsia="仿宋_GB2312" w:cs="仿宋_GB2312"/>
          <w:b/>
          <w:bCs/>
          <w:sz w:val="32"/>
          <w:szCs w:val="32"/>
          <w:lang w:val="en-US" w:eastAsia="zh-CN"/>
        </w:rPr>
        <w:t>一是</w:t>
      </w:r>
      <w:r>
        <w:rPr>
          <w:rFonts w:hint="eastAsia" w:ascii="仿宋_GB2312" w:eastAsia="仿宋_GB2312"/>
          <w:sz w:val="32"/>
          <w:szCs w:val="32"/>
          <w:lang w:val="en-US" w:eastAsia="zh-CN"/>
        </w:rPr>
        <w:t>按照《河北省行政复议案件办理程序规定》，</w:t>
      </w:r>
      <w:r>
        <w:rPr>
          <w:rFonts w:hint="eastAsia" w:ascii="仿宋_GB2312" w:hAnsi="仿宋_GB2312" w:eastAsia="仿宋_GB2312" w:cs="仿宋_GB2312"/>
          <w:sz w:val="32"/>
          <w:szCs w:val="32"/>
          <w:lang w:val="en-US" w:eastAsia="zh-CN"/>
        </w:rPr>
        <w:t>设置了专门的行政复议接待室、听证室，并安装了全程录像设施及相关硬件配套设施。</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购置了花镜、法律工具书等物品，方便了申请人书写、修改复议文书，并印制了《申请行政复议服务指南》供咨询群众索取，得到了群众的好评，拉近了行政机关与人民群众的距离，</w:t>
      </w:r>
      <w:bookmarkStart w:id="0" w:name="_GoBack"/>
      <w:bookmarkEnd w:id="0"/>
      <w:r>
        <w:rPr>
          <w:rFonts w:hint="eastAsia" w:ascii="仿宋_GB2312" w:hAnsi="仿宋_GB2312" w:eastAsia="仿宋_GB2312" w:cs="仿宋_GB2312"/>
          <w:sz w:val="32"/>
          <w:szCs w:val="32"/>
          <w:lang w:val="en-US" w:eastAsia="zh-CN"/>
        </w:rPr>
        <w:t>群众非常满意。</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b w:val="0"/>
          <w:bCs w:val="0"/>
          <w:sz w:val="32"/>
          <w:szCs w:val="32"/>
          <w:lang w:val="en-US" w:eastAsia="zh-CN"/>
        </w:rPr>
        <w:t>设置了档案室并完善了相关硬件配套设施，确保复议、应诉案卷按要求存放。</w:t>
      </w:r>
    </w:p>
    <w:p>
      <w:pPr>
        <w:ind w:firstLine="640" w:firstLineChars="200"/>
        <w:rPr>
          <w:rFonts w:ascii="仿宋_GB2312" w:eastAsia="仿宋_GB2312"/>
          <w:sz w:val="32"/>
          <w:szCs w:val="32"/>
        </w:rPr>
      </w:pPr>
      <w:r>
        <w:rPr>
          <w:rFonts w:hint="eastAsia" w:ascii="黑体" w:hAnsi="黑体" w:eastAsia="黑体"/>
          <w:sz w:val="32"/>
          <w:szCs w:val="32"/>
          <w:lang w:eastAsia="zh-CN"/>
        </w:rPr>
        <w:t>三</w:t>
      </w:r>
      <w:r>
        <w:rPr>
          <w:rFonts w:hint="eastAsia" w:ascii="黑体" w:hAnsi="黑体" w:eastAsia="黑体"/>
          <w:sz w:val="32"/>
          <w:szCs w:val="32"/>
        </w:rPr>
        <w:t>、存在的问题及改进措施</w:t>
      </w:r>
    </w:p>
    <w:p>
      <w:pPr>
        <w:adjustRightInd w:val="0"/>
        <w:spacing w:line="360" w:lineRule="auto"/>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 xml:space="preserve">   </w:t>
      </w:r>
      <w:r>
        <w:rPr>
          <w:rFonts w:hint="eastAsia" w:ascii="仿宋_GB2312" w:hAnsi="仿宋_GB2312" w:eastAsia="仿宋_GB2312" w:cs="仿宋_GB2312"/>
          <w:sz w:val="32"/>
          <w:szCs w:val="32"/>
          <w:lang w:eastAsia="zh-CN"/>
        </w:rPr>
        <w:t>针对政府法律顾问项目经</w:t>
      </w:r>
      <w:r>
        <w:rPr>
          <w:rFonts w:hint="eastAsia" w:ascii="仿宋_GB2312" w:hAnsi="仿宋_GB2312" w:eastAsia="仿宋_GB2312" w:cs="仿宋_GB2312"/>
          <w:sz w:val="32"/>
          <w:szCs w:val="32"/>
        </w:rPr>
        <w:t>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2019年仅西美·金山湖项目聘请专业法律顾问费用</w:t>
      </w:r>
      <w:r>
        <w:rPr>
          <w:rFonts w:hint="eastAsia" w:ascii="仿宋_GB2312" w:hAnsi="仿宋_GB2312" w:eastAsia="仿宋_GB2312" w:cs="仿宋_GB2312"/>
          <w:sz w:val="32"/>
          <w:szCs w:val="32"/>
        </w:rPr>
        <w:t>实际支出近</w:t>
      </w:r>
      <w:r>
        <w:rPr>
          <w:rFonts w:ascii="仿宋_GB2312" w:hAnsi="仿宋_GB2312" w:eastAsia="仿宋_GB2312" w:cs="仿宋_GB2312"/>
          <w:sz w:val="32"/>
          <w:szCs w:val="32"/>
        </w:rPr>
        <w:t>20</w:t>
      </w:r>
      <w:r>
        <w:rPr>
          <w:rFonts w:hint="eastAsia" w:ascii="仿宋_GB2312" w:hAnsi="仿宋_GB2312" w:eastAsia="仿宋_GB2312" w:cs="仿宋_GB2312"/>
          <w:sz w:val="32"/>
          <w:szCs w:val="32"/>
        </w:rPr>
        <w:t>万元，原有的</w:t>
      </w:r>
      <w:r>
        <w:rPr>
          <w:rFonts w:ascii="仿宋_GB2312" w:hAnsi="仿宋_GB2312" w:eastAsia="仿宋_GB2312" w:cs="仿宋_GB2312"/>
          <w:sz w:val="32"/>
          <w:szCs w:val="32"/>
        </w:rPr>
        <w:t>10</w:t>
      </w:r>
      <w:r>
        <w:rPr>
          <w:rFonts w:hint="eastAsia" w:ascii="仿宋_GB2312" w:hAnsi="仿宋_GB2312" w:eastAsia="仿宋_GB2312" w:cs="仿宋_GB2312"/>
          <w:sz w:val="32"/>
          <w:szCs w:val="32"/>
        </w:rPr>
        <w:t>万元经费已远远不够实际支出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2020年迫切需要增加</w:t>
      </w:r>
      <w:r>
        <w:rPr>
          <w:rFonts w:hint="eastAsia" w:ascii="仿宋_GB2312" w:hAnsi="仿宋_GB2312" w:eastAsia="仿宋_GB2312" w:cs="仿宋_GB2312"/>
          <w:sz w:val="32"/>
          <w:szCs w:val="32"/>
          <w:lang w:eastAsia="zh-CN"/>
        </w:rPr>
        <w:t>政府法律顾问项目经</w:t>
      </w:r>
      <w:r>
        <w:rPr>
          <w:rFonts w:hint="eastAsia" w:ascii="仿宋_GB2312" w:hAnsi="仿宋_GB2312" w:eastAsia="仿宋_GB2312" w:cs="仿宋_GB2312"/>
          <w:sz w:val="32"/>
          <w:szCs w:val="32"/>
        </w:rPr>
        <w:t>费</w:t>
      </w:r>
      <w:r>
        <w:rPr>
          <w:rFonts w:hint="eastAsia" w:ascii="仿宋_GB2312" w:hAnsi="仿宋_GB2312" w:eastAsia="仿宋_GB2312" w:cs="仿宋_GB2312"/>
          <w:sz w:val="32"/>
          <w:szCs w:val="32"/>
          <w:lang w:eastAsia="zh-CN"/>
        </w:rPr>
        <w:t>。</w:t>
      </w:r>
    </w:p>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45879"/>
    <w:rsid w:val="00934BE2"/>
    <w:rsid w:val="2A2941B7"/>
    <w:rsid w:val="2DAB30F5"/>
    <w:rsid w:val="30DA1909"/>
    <w:rsid w:val="55867373"/>
    <w:rsid w:val="5C4758B9"/>
    <w:rsid w:val="713845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Calibri"/>
      <w:kern w:val="2"/>
      <w:sz w:val="21"/>
      <w:szCs w:val="22"/>
    </w:rPr>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6">
    <w:name w:val="page number"/>
    <w:basedOn w:val="5"/>
    <w:qFormat/>
    <w:uiPriority w:val="0"/>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7</Pages>
  <Words>3304</Words>
  <Characters>299</Characters>
  <Lines>2</Lines>
  <Paragraphs>7</Paragraphs>
  <TotalTime>4</TotalTime>
  <ScaleCrop>false</ScaleCrop>
  <LinksUpToDate>false</LinksUpToDate>
  <CharactersWithSpaces>3596</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2020-01-03T00:32:00Z</dcterms:created>
  <dc:creator>838</dc:creator>
  <cp:lastModifiedBy>鹿泉小姚</cp:lastModifiedBy>
  <cp:lastPrinted>2020-01-07T08:44:32Z</cp:lastPrinted>
  <dcterms:modified xsi:type="dcterms:W3CDTF">2020-01-07T08:46:18Z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