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pacing w:line="360" w:lineRule="auto"/>
        <w:rPr>
          <w:rFonts w:ascii="黑体" w:hAnsi="黑体" w:eastAsia="黑体" w:cs="黑体"/>
          <w:sz w:val="32"/>
          <w:szCs w:val="32"/>
        </w:rPr>
      </w:pPr>
    </w:p>
    <w:p>
      <w:pPr>
        <w:spacing w:line="360" w:lineRule="auto"/>
        <w:jc w:val="center"/>
        <w:rPr>
          <w:rFonts w:ascii="仿宋_GB2312" w:hAnsi="仿宋" w:eastAsia="仿宋_GB2312" w:cs="仿宋"/>
          <w:sz w:val="36"/>
          <w:szCs w:val="36"/>
        </w:rPr>
      </w:pPr>
      <w:r>
        <w:rPr>
          <w:rFonts w:hint="eastAsia" w:ascii="仿宋_GB2312" w:eastAsia="仿宋_GB2312"/>
          <w:b/>
          <w:bCs/>
          <w:sz w:val="36"/>
          <w:szCs w:val="36"/>
        </w:rPr>
        <w:t>2019年司法局</w:t>
      </w:r>
      <w:r>
        <w:rPr>
          <w:rFonts w:hint="eastAsia" w:ascii="仿宋_GB2312" w:eastAsia="仿宋_GB2312"/>
          <w:b/>
          <w:bCs/>
          <w:sz w:val="36"/>
          <w:szCs w:val="36"/>
          <w:lang w:eastAsia="zh-CN"/>
        </w:rPr>
        <w:t>社区矫正及安置帮教</w:t>
      </w:r>
      <w:r>
        <w:rPr>
          <w:rFonts w:hint="eastAsia" w:ascii="仿宋_GB2312" w:eastAsia="仿宋_GB2312"/>
          <w:b/>
          <w:bCs/>
          <w:sz w:val="36"/>
          <w:szCs w:val="36"/>
        </w:rPr>
        <w:t>项目绩效评价报告</w:t>
      </w:r>
    </w:p>
    <w:p>
      <w:pPr>
        <w:spacing w:line="360" w:lineRule="auto"/>
        <w:rPr>
          <w:rFonts w:ascii="仿宋_GB2312" w:hAnsi="仿宋" w:eastAsia="仿宋_GB2312" w:cs="仿宋"/>
          <w:sz w:val="30"/>
          <w:szCs w:val="30"/>
        </w:rPr>
      </w:pPr>
    </w:p>
    <w:p>
      <w:pPr>
        <w:spacing w:line="360" w:lineRule="auto"/>
        <w:jc w:val="center"/>
        <w:rPr>
          <w:rFonts w:ascii="仿宋_GB2312" w:eastAsia="仿宋_GB2312"/>
          <w:sz w:val="30"/>
          <w:szCs w:val="30"/>
        </w:rPr>
      </w:pPr>
    </w:p>
    <w:p>
      <w:pPr>
        <w:adjustRightInd w:val="0"/>
        <w:snapToGrid w:val="0"/>
        <w:spacing w:line="360" w:lineRule="auto"/>
        <w:ind w:firstLine="600" w:firstLineChars="200"/>
        <w:rPr>
          <w:rFonts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根据《石家庄市鹿泉区区级部门预算绩效管理办法》（鹿财字[2019]65号），遵循“科学性、规范性、客观性和公正性”的原则，对</w:t>
      </w:r>
      <w:r>
        <w:rPr>
          <w:rFonts w:hint="eastAsia" w:ascii="仿宋_GB2312" w:hAnsi="仿宋" w:eastAsia="仿宋_GB2312" w:cs="宋体"/>
          <w:color w:val="000000"/>
          <w:kern w:val="0"/>
          <w:sz w:val="30"/>
          <w:szCs w:val="30"/>
        </w:rPr>
        <w:t>我单位对2019年部门整体支出进行了自评</w:t>
      </w:r>
      <w:r>
        <w:rPr>
          <w:rFonts w:hint="eastAsia" w:ascii="仿宋_GB2312" w:eastAsia="仿宋_GB2312"/>
          <w:color w:val="000000"/>
          <w:sz w:val="30"/>
          <w:szCs w:val="30"/>
        </w:rPr>
        <w:t>，形成本评价报告。</w:t>
      </w:r>
    </w:p>
    <w:p>
      <w:pPr>
        <w:adjustRightInd w:val="0"/>
        <w:snapToGrid w:val="0"/>
        <w:spacing w:line="360" w:lineRule="auto"/>
        <w:rPr>
          <w:rFonts w:ascii="仿宋_GB2312" w:eastAsia="仿宋_GB2312"/>
          <w:b/>
          <w:bCs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一、项目基本情况</w:t>
      </w:r>
    </w:p>
    <w:p>
      <w:pPr>
        <w:adjustRightInd w:val="0"/>
        <w:snapToGrid w:val="0"/>
        <w:spacing w:line="360" w:lineRule="auto"/>
        <w:ind w:firstLine="600" w:firstLineChars="200"/>
        <w:rPr>
          <w:rFonts w:ascii="仿宋_GB2312" w:hAnsi="楷体_GB2312" w:eastAsia="仿宋_GB2312" w:cs="楷体_GB2312"/>
          <w:color w:val="000000"/>
          <w:sz w:val="30"/>
          <w:szCs w:val="30"/>
        </w:rPr>
      </w:pPr>
      <w:r>
        <w:rPr>
          <w:rFonts w:hint="eastAsia" w:ascii="仿宋_GB2312" w:hAnsi="楷体_GB2312" w:eastAsia="仿宋_GB2312" w:cs="楷体_GB2312"/>
          <w:color w:val="000000"/>
          <w:sz w:val="30"/>
          <w:szCs w:val="30"/>
        </w:rPr>
        <w:t>（一）项目概况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adjustRightInd w:val="0"/>
        <w:spacing w:line="360" w:lineRule="auto"/>
        <w:ind w:firstLine="641"/>
        <w:jc w:val="left"/>
        <w:rPr>
          <w:rFonts w:ascii="仿宋_GB2312" w:hAnsi="Times New Roman" w:eastAsia="仿宋_GB2312" w:cs="宋体"/>
          <w:color w:val="000000"/>
          <w:kern w:val="0"/>
          <w:sz w:val="30"/>
          <w:szCs w:val="30"/>
          <w:lang w:val="zh-CN"/>
        </w:rPr>
      </w:pPr>
      <w:r>
        <w:rPr>
          <w:rFonts w:hint="eastAsia" w:ascii="仿宋_GB2312" w:eastAsia="仿宋_GB2312" w:cs="仿宋"/>
          <w:color w:val="000000"/>
          <w:kern w:val="0"/>
          <w:sz w:val="30"/>
          <w:szCs w:val="30"/>
          <w:lang w:val="zh-CN"/>
        </w:rPr>
        <w:t>社区矫正及安置帮教经费15万元。依据财政部、司法部关于进一步加强社区矫正经费保障工作的意见（财行【2012】402号），予以保障用于社区矫正</w:t>
      </w:r>
      <w:r>
        <w:rPr>
          <w:rFonts w:hint="eastAsia" w:ascii="仿宋_GB2312" w:eastAsia="仿宋_GB2312" w:cs="仿宋"/>
          <w:color w:val="000000"/>
          <w:kern w:val="0"/>
          <w:sz w:val="30"/>
          <w:szCs w:val="30"/>
          <w:lang w:val="zh-CN" w:eastAsia="zh-CN"/>
        </w:rPr>
        <w:t>和</w:t>
      </w:r>
      <w:r>
        <w:rPr>
          <w:rFonts w:hint="eastAsia" w:ascii="仿宋_GB2312" w:eastAsia="仿宋_GB2312" w:cs="仿宋"/>
          <w:color w:val="000000"/>
          <w:kern w:val="0"/>
          <w:sz w:val="30"/>
          <w:szCs w:val="30"/>
          <w:lang w:val="zh-CN"/>
        </w:rPr>
        <w:t>安置帮教相关工作，各级政府将所需列入预算予以保障用于社区矫正安置帮教相关工作</w:t>
      </w:r>
      <w:r>
        <w:rPr>
          <w:rFonts w:hint="eastAsia" w:ascii="仿宋_GB2312" w:eastAsia="仿宋_GB2312" w:cs="仿宋"/>
          <w:color w:val="000000"/>
          <w:kern w:val="0"/>
          <w:sz w:val="30"/>
          <w:szCs w:val="30"/>
        </w:rPr>
        <w:t>。</w:t>
      </w:r>
      <w:r>
        <w:rPr>
          <w:rFonts w:hint="eastAsia" w:ascii="仿宋_GB2312" w:eastAsia="仿宋_GB2312" w:cs="仿宋"/>
          <w:color w:val="000000"/>
          <w:kern w:val="0"/>
          <w:sz w:val="30"/>
          <w:szCs w:val="30"/>
          <w:lang w:eastAsia="zh-CN"/>
        </w:rPr>
        <w:t>树立以人为本的思想，依法</w:t>
      </w:r>
      <w:r>
        <w:rPr>
          <w:rFonts w:hint="eastAsia" w:ascii="仿宋_GB2312" w:eastAsia="仿宋_GB2312" w:cs="仿宋"/>
          <w:color w:val="000000"/>
          <w:kern w:val="0"/>
          <w:sz w:val="30"/>
          <w:szCs w:val="30"/>
        </w:rPr>
        <w:t>规范管理</w:t>
      </w:r>
      <w:r>
        <w:rPr>
          <w:rFonts w:hint="eastAsia" w:ascii="仿宋_GB2312" w:eastAsia="仿宋_GB2312" w:cs="仿宋"/>
          <w:color w:val="000000"/>
          <w:kern w:val="0"/>
          <w:sz w:val="30"/>
          <w:szCs w:val="30"/>
          <w:lang w:eastAsia="zh-CN"/>
        </w:rPr>
        <w:t>社区服刑人员和刑满释放“两类”</w:t>
      </w:r>
      <w:r>
        <w:rPr>
          <w:rFonts w:hint="eastAsia" w:ascii="仿宋_GB2312" w:eastAsia="仿宋_GB2312" w:cs="仿宋"/>
          <w:color w:val="000000"/>
          <w:kern w:val="0"/>
          <w:sz w:val="30"/>
          <w:szCs w:val="30"/>
        </w:rPr>
        <w:t>特殊人群，健全完善</w:t>
      </w:r>
      <w:r>
        <w:rPr>
          <w:rFonts w:hint="eastAsia" w:ascii="仿宋_GB2312" w:eastAsia="仿宋_GB2312" w:cs="仿宋"/>
          <w:color w:val="000000"/>
          <w:kern w:val="0"/>
          <w:sz w:val="30"/>
          <w:szCs w:val="30"/>
          <w:lang w:eastAsia="zh-CN"/>
        </w:rPr>
        <w:t>教育</w:t>
      </w:r>
      <w:r>
        <w:rPr>
          <w:rFonts w:hint="eastAsia" w:ascii="仿宋_GB2312" w:eastAsia="仿宋_GB2312" w:cs="仿宋"/>
          <w:color w:val="000000"/>
          <w:kern w:val="0"/>
          <w:sz w:val="30"/>
          <w:szCs w:val="30"/>
        </w:rPr>
        <w:t>矫治质量评价体系</w:t>
      </w:r>
      <w:r>
        <w:rPr>
          <w:rFonts w:hint="eastAsia" w:ascii="仿宋_GB2312" w:eastAsia="仿宋_GB2312" w:cs="仿宋"/>
          <w:color w:val="000000"/>
          <w:kern w:val="0"/>
          <w:sz w:val="30"/>
          <w:szCs w:val="30"/>
          <w:lang w:eastAsia="zh-CN"/>
        </w:rPr>
        <w:t>。依据省市社区矫正年度工作目标，依法严格落实监管、教育、帮扶三个环节，努力减少和预防“两类”人群重新违法犯罪</w:t>
      </w:r>
      <w:r>
        <w:rPr>
          <w:rFonts w:hint="eastAsia" w:ascii="仿宋_GB2312" w:eastAsia="仿宋_GB2312" w:cs="仿宋"/>
          <w:color w:val="000000"/>
          <w:kern w:val="0"/>
          <w:sz w:val="30"/>
          <w:szCs w:val="30"/>
        </w:rPr>
        <w:t>。</w:t>
      </w:r>
    </w:p>
    <w:p>
      <w:pPr>
        <w:adjustRightInd w:val="0"/>
        <w:snapToGrid w:val="0"/>
        <w:spacing w:line="360" w:lineRule="auto"/>
        <w:ind w:firstLine="450" w:firstLineChars="150"/>
        <w:rPr>
          <w:rFonts w:ascii="仿宋_GB2312" w:eastAsia="仿宋_GB2312"/>
          <w:color w:val="000000"/>
          <w:sz w:val="30"/>
          <w:szCs w:val="30"/>
        </w:rPr>
      </w:pPr>
      <w:r>
        <w:rPr>
          <w:rFonts w:hint="eastAsia" w:ascii="仿宋_GB2312" w:hAnsi="楷体_GB2312" w:eastAsia="仿宋_GB2312" w:cs="楷体_GB2312"/>
          <w:color w:val="000000"/>
          <w:sz w:val="30"/>
          <w:szCs w:val="30"/>
        </w:rPr>
        <w:t>（二）项目预期绩效目标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adjustRightInd w:val="0"/>
        <w:spacing w:line="360" w:lineRule="auto"/>
        <w:ind w:firstLine="641"/>
        <w:jc w:val="left"/>
        <w:rPr>
          <w:rFonts w:hint="eastAsia" w:ascii="仿宋_GB2312" w:eastAsia="仿宋_GB2312"/>
          <w:color w:val="000000"/>
          <w:sz w:val="30"/>
          <w:szCs w:val="30"/>
          <w:lang w:eastAsia="zh-CN"/>
        </w:rPr>
      </w:pPr>
      <w:r>
        <w:rPr>
          <w:rFonts w:hint="eastAsia" w:ascii="仿宋_GB2312" w:eastAsia="仿宋_GB2312"/>
          <w:color w:val="000000"/>
          <w:sz w:val="30"/>
          <w:szCs w:val="30"/>
          <w:lang w:eastAsia="zh-CN"/>
        </w:rPr>
        <w:t>加强</w:t>
      </w:r>
      <w:r>
        <w:rPr>
          <w:rFonts w:hint="eastAsia" w:ascii="仿宋_GB2312" w:eastAsia="仿宋_GB2312"/>
          <w:color w:val="000000"/>
          <w:sz w:val="30"/>
          <w:szCs w:val="30"/>
        </w:rPr>
        <w:t>社区矫正信息化管理平台</w:t>
      </w:r>
      <w:r>
        <w:rPr>
          <w:rFonts w:hint="eastAsia" w:ascii="仿宋_GB2312" w:eastAsia="仿宋_GB2312"/>
          <w:color w:val="000000"/>
          <w:sz w:val="30"/>
          <w:szCs w:val="30"/>
          <w:lang w:eastAsia="zh-CN"/>
        </w:rPr>
        <w:t>建设，实现区社区矫正指挥中心与基层司法所的信息衔接。一是通过信息平台进行远程法制教育，提高对社区服刑人员教育质量。二是进行远程训诫，对违反规定的社区矫正对象由区社区矫正专职人员进行教育，提高训诫质量。三是进行远程心理咨询。对社区服刑人员中心理有疾病的，通过信息平台进行远程疏导。四是发生突发情况，实现区社区矫正中心通过信息平台对突发事件的时时指挥。</w:t>
      </w:r>
    </w:p>
    <w:p>
      <w:pPr>
        <w:adjustRightInd w:val="0"/>
        <w:snapToGrid w:val="0"/>
        <w:spacing w:line="360" w:lineRule="auto"/>
        <w:ind w:firstLine="600" w:firstLineChars="200"/>
        <w:rPr>
          <w:rFonts w:ascii="仿宋_GB2312" w:hAnsi="黑体" w:eastAsia="仿宋_GB2312" w:cs="黑体"/>
          <w:b w:val="0"/>
          <w:bCs w:val="0"/>
          <w:color w:val="000000"/>
          <w:sz w:val="30"/>
          <w:szCs w:val="30"/>
        </w:rPr>
      </w:pPr>
      <w:r>
        <w:rPr>
          <w:rFonts w:hint="eastAsia" w:ascii="仿宋_GB2312" w:hAnsi="黑体" w:eastAsia="仿宋_GB2312" w:cs="黑体"/>
          <w:b w:val="0"/>
          <w:bCs w:val="0"/>
          <w:color w:val="000000"/>
          <w:sz w:val="30"/>
          <w:szCs w:val="30"/>
        </w:rPr>
        <w:t>二、绩效评价工作情况</w:t>
      </w:r>
    </w:p>
    <w:p>
      <w:pPr>
        <w:widowControl/>
        <w:shd w:val="clear" w:color="auto" w:fill="FFFFFF"/>
        <w:spacing w:line="480" w:lineRule="auto"/>
        <w:ind w:firstLine="480"/>
        <w:jc w:val="left"/>
        <w:rPr>
          <w:rFonts w:ascii="仿宋_GB2312" w:hAnsi="微软雅黑" w:eastAsia="仿宋_GB2312" w:cs="宋体"/>
          <w:color w:val="000000"/>
          <w:kern w:val="0"/>
          <w:sz w:val="30"/>
          <w:szCs w:val="30"/>
        </w:rPr>
      </w:pPr>
      <w:r>
        <w:rPr>
          <w:rFonts w:hint="eastAsia" w:ascii="仿宋_GB2312" w:hAnsi="微软雅黑" w:eastAsia="仿宋_GB2312" w:cs="宋体"/>
          <w:color w:val="000000"/>
          <w:kern w:val="0"/>
          <w:sz w:val="30"/>
          <w:szCs w:val="30"/>
        </w:rPr>
        <w:t>我局成立了以分管财务的副局长为组长，相关科室负责人为成员的预算绩效评价工作小组，明确熟悉财务工作的同志具体负责绩效评价工作，机关各科室密切配合，提供绩效评价所需要的数据和材料，力争做好2019年预算绩效评价工作。</w:t>
      </w:r>
    </w:p>
    <w:p>
      <w:pPr>
        <w:rPr>
          <w:rFonts w:hint="eastAsia" w:ascii="仿宋_GB2312" w:hAnsi="黑体" w:eastAsia="仿宋_GB2312" w:cs="黑体"/>
          <w:color w:val="000000"/>
          <w:sz w:val="30"/>
          <w:szCs w:val="30"/>
        </w:rPr>
      </w:pPr>
      <w:r>
        <w:rPr>
          <w:rFonts w:hint="eastAsia" w:ascii="仿宋_GB2312" w:hAnsi="黑体" w:eastAsia="仿宋_GB2312" w:cs="黑体"/>
          <w:color w:val="000000"/>
          <w:sz w:val="30"/>
          <w:szCs w:val="30"/>
          <w:lang w:val="en-US" w:eastAsia="zh-CN"/>
        </w:rPr>
        <w:t xml:space="preserve">  　</w:t>
      </w:r>
      <w:r>
        <w:rPr>
          <w:rFonts w:hint="eastAsia" w:ascii="仿宋_GB2312" w:hAnsi="黑体" w:eastAsia="仿宋_GB2312" w:cs="黑体"/>
          <w:color w:val="000000"/>
          <w:sz w:val="30"/>
          <w:szCs w:val="30"/>
        </w:rPr>
        <w:t>三、项目执行及绩效实现情况</w:t>
      </w:r>
    </w:p>
    <w:p>
      <w:pPr>
        <w:rPr>
          <w:rFonts w:hint="eastAsia" w:ascii="仿宋_GB2312" w:hAnsi="黑体" w:eastAsia="仿宋_GB2312" w:cs="黑体"/>
          <w:color w:val="000000"/>
          <w:sz w:val="30"/>
          <w:szCs w:val="30"/>
          <w:lang w:val="en-US" w:eastAsia="zh-CN"/>
        </w:rPr>
      </w:pPr>
      <w:r>
        <w:rPr>
          <w:rFonts w:hint="eastAsia" w:ascii="仿宋_GB2312" w:hAnsi="黑体" w:eastAsia="仿宋_GB2312" w:cs="黑体"/>
          <w:color w:val="000000"/>
          <w:sz w:val="30"/>
          <w:szCs w:val="30"/>
          <w:lang w:val="en-US" w:eastAsia="zh-CN"/>
        </w:rPr>
        <w:t xml:space="preserve">  　项目资金到位后，依据社区矫正信息化平台建设实施流程，依托政法网实现了区社区矫正指挥中心同基层司法所的信息衔接。通过信息平台完成“国庆安保”期间对社区服刑人员的监管教育；对在册的411名社区服刑是否符合特赦进行核查，对4名符合条件予以特赦；通过平台开展远程法制教育4次，参加教育1470人；对违反监管规定进行远程训诫32人次，心理咨询27人次；通过平台对在册社区服刑人员进行手机定位检查达10万人次以上，提高了对“两类”人员监管力度。</w:t>
      </w:r>
    </w:p>
    <w:p>
      <w:pPr>
        <w:adjustRightInd w:val="0"/>
        <w:spacing w:line="360" w:lineRule="auto"/>
        <w:ind w:firstLine="600" w:firstLineChars="200"/>
        <w:rPr>
          <w:rFonts w:ascii="仿宋_GB2312" w:hAnsi="宋体" w:eastAsia="仿宋_GB2312"/>
          <w:color w:val="000000"/>
          <w:sz w:val="30"/>
          <w:szCs w:val="30"/>
        </w:rPr>
      </w:pPr>
      <w:r>
        <w:rPr>
          <w:rFonts w:hint="eastAsia" w:ascii="仿宋_GB2312" w:hAnsi="楷体_GB2312" w:eastAsia="仿宋_GB2312" w:cs="楷体_GB2312"/>
          <w:color w:val="000000"/>
          <w:sz w:val="30"/>
          <w:szCs w:val="30"/>
        </w:rPr>
        <w:t xml:space="preserve">  </w:t>
      </w:r>
    </w:p>
    <w:p>
      <w:pPr>
        <w:adjustRightInd w:val="0"/>
        <w:spacing w:line="360" w:lineRule="auto"/>
        <w:ind w:firstLine="640" w:firstLineChars="200"/>
        <w:rPr>
          <w:rFonts w:ascii="仿宋_GB2312" w:hAnsi="宋体" w:eastAsia="仿宋_GB2312"/>
          <w:sz w:val="32"/>
          <w:szCs w:val="32"/>
        </w:rPr>
      </w:pPr>
    </w:p>
    <w:p>
      <w:pPr>
        <w:adjustRightInd w:val="0"/>
        <w:spacing w:line="360" w:lineRule="auto"/>
        <w:rPr>
          <w:rFonts w:ascii="黑体" w:hAnsi="黑体" w:eastAsia="黑体" w:cs="黑体"/>
          <w:sz w:val="32"/>
          <w:szCs w:val="32"/>
        </w:rPr>
      </w:pPr>
    </w:p>
    <w:p>
      <w:pPr>
        <w:adjustRightInd w:val="0"/>
        <w:spacing w:line="360" w:lineRule="auto"/>
        <w:rPr>
          <w:rFonts w:ascii="宋体" w:hAnsi="宋体"/>
          <w:b/>
          <w:color w:val="000000"/>
          <w:sz w:val="32"/>
          <w:shd w:val="clear" w:color="auto" w:fill="FFFFFF"/>
        </w:rPr>
      </w:pPr>
      <w:bookmarkStart w:id="0" w:name="_GoBack"/>
      <w:bookmarkEnd w:id="0"/>
    </w:p>
    <w:p>
      <w:pPr>
        <w:adjustRightInd w:val="0"/>
        <w:spacing w:line="360" w:lineRule="auto"/>
        <w:ind w:firstLine="1446" w:firstLineChars="450"/>
        <w:rPr>
          <w:rFonts w:ascii="宋体" w:hAnsi="宋体"/>
          <w:b/>
          <w:color w:val="000000"/>
          <w:sz w:val="32"/>
          <w:shd w:val="clear" w:color="auto" w:fill="FFFFFF"/>
        </w:rPr>
      </w:pPr>
    </w:p>
    <w:p>
      <w:pPr>
        <w:adjustRightInd w:val="0"/>
        <w:spacing w:line="360" w:lineRule="auto"/>
        <w:ind w:firstLine="1446" w:firstLineChars="450"/>
        <w:rPr>
          <w:rFonts w:ascii="宋体" w:hAnsi="宋体"/>
          <w:b/>
          <w:color w:val="000000"/>
          <w:sz w:val="32"/>
          <w:shd w:val="clear" w:color="auto" w:fill="FFFFFF"/>
        </w:rPr>
      </w:pPr>
    </w:p>
    <w:p>
      <w:pPr>
        <w:adjustRightInd w:val="0"/>
        <w:spacing w:line="360" w:lineRule="auto"/>
        <w:ind w:firstLine="1446" w:firstLineChars="450"/>
        <w:rPr>
          <w:rFonts w:ascii="宋体" w:hAnsi="宋体"/>
          <w:b/>
          <w:color w:val="000000"/>
          <w:sz w:val="32"/>
          <w:shd w:val="clear" w:color="auto" w:fill="FFFFFF"/>
        </w:rPr>
      </w:pPr>
    </w:p>
    <w:p>
      <w:pPr>
        <w:adjustRightInd w:val="0"/>
        <w:spacing w:line="360" w:lineRule="auto"/>
        <w:ind w:firstLine="1446" w:firstLineChars="450"/>
        <w:rPr>
          <w:rFonts w:ascii="宋体" w:hAnsi="宋体"/>
          <w:b/>
          <w:color w:val="000000"/>
          <w:sz w:val="32"/>
          <w:shd w:val="clear" w:color="auto" w:fill="FFFFFF"/>
        </w:rPr>
      </w:pPr>
    </w:p>
    <w:p>
      <w:pPr>
        <w:adjustRightInd w:val="0"/>
        <w:spacing w:line="360" w:lineRule="auto"/>
        <w:ind w:firstLine="1446" w:firstLineChars="450"/>
        <w:rPr>
          <w:rFonts w:ascii="宋体" w:hAnsi="宋体"/>
          <w:b/>
          <w:color w:val="000000"/>
          <w:sz w:val="32"/>
          <w:shd w:val="clear" w:color="auto" w:fill="FFFFFF"/>
        </w:rPr>
      </w:pPr>
    </w:p>
    <w:p>
      <w:pPr>
        <w:adjustRightInd w:val="0"/>
        <w:spacing w:line="360" w:lineRule="auto"/>
        <w:ind w:firstLine="1446" w:firstLineChars="450"/>
        <w:rPr>
          <w:rFonts w:ascii="宋体" w:hAnsi="宋体"/>
          <w:b/>
          <w:color w:val="000000"/>
          <w:sz w:val="32"/>
          <w:shd w:val="clear" w:color="auto" w:fill="FFFFFF"/>
        </w:rPr>
      </w:pPr>
    </w:p>
    <w:p>
      <w:pPr>
        <w:adjustRightInd w:val="0"/>
        <w:spacing w:line="360" w:lineRule="auto"/>
        <w:ind w:firstLine="1446" w:firstLineChars="450"/>
        <w:rPr>
          <w:rFonts w:ascii="宋体" w:hAnsi="宋体"/>
          <w:b/>
          <w:color w:val="000000"/>
          <w:sz w:val="32"/>
          <w:shd w:val="clear" w:color="auto" w:fill="FFFFFF"/>
        </w:rPr>
      </w:pPr>
    </w:p>
    <w:p/>
    <w:sectPr>
      <w:footerReference r:id="rId3" w:type="default"/>
      <w:footerReference r:id="rId4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2A2941B7"/>
    <w:rsid w:val="00022E18"/>
    <w:rsid w:val="00045879"/>
    <w:rsid w:val="00104508"/>
    <w:rsid w:val="00160DAD"/>
    <w:rsid w:val="001A309B"/>
    <w:rsid w:val="001C5401"/>
    <w:rsid w:val="00372CB4"/>
    <w:rsid w:val="003743D4"/>
    <w:rsid w:val="00380CBD"/>
    <w:rsid w:val="003B1B23"/>
    <w:rsid w:val="003E0598"/>
    <w:rsid w:val="00417441"/>
    <w:rsid w:val="00436284"/>
    <w:rsid w:val="004A1308"/>
    <w:rsid w:val="00574162"/>
    <w:rsid w:val="005858E8"/>
    <w:rsid w:val="005F13D4"/>
    <w:rsid w:val="00637A5D"/>
    <w:rsid w:val="008159B6"/>
    <w:rsid w:val="008609A7"/>
    <w:rsid w:val="00867C65"/>
    <w:rsid w:val="00934BE2"/>
    <w:rsid w:val="009552E5"/>
    <w:rsid w:val="00991C04"/>
    <w:rsid w:val="009E3003"/>
    <w:rsid w:val="009F03D5"/>
    <w:rsid w:val="00A003B8"/>
    <w:rsid w:val="00A077F3"/>
    <w:rsid w:val="00A74571"/>
    <w:rsid w:val="00A76183"/>
    <w:rsid w:val="00AE2C2B"/>
    <w:rsid w:val="00AF2AC5"/>
    <w:rsid w:val="00C12B29"/>
    <w:rsid w:val="00C303FD"/>
    <w:rsid w:val="00C61E3F"/>
    <w:rsid w:val="00C71C33"/>
    <w:rsid w:val="00C732FD"/>
    <w:rsid w:val="00CB3A14"/>
    <w:rsid w:val="00CC44AE"/>
    <w:rsid w:val="00CC58F6"/>
    <w:rsid w:val="00CD77C4"/>
    <w:rsid w:val="00D33831"/>
    <w:rsid w:val="00DD69B8"/>
    <w:rsid w:val="00EB3197"/>
    <w:rsid w:val="00EB7061"/>
    <w:rsid w:val="00EF4E2A"/>
    <w:rsid w:val="00F26A0B"/>
    <w:rsid w:val="00FB7BC5"/>
    <w:rsid w:val="00FE1057"/>
    <w:rsid w:val="1A516E6E"/>
    <w:rsid w:val="256C7F3D"/>
    <w:rsid w:val="2A2941B7"/>
    <w:rsid w:val="2F9F528B"/>
    <w:rsid w:val="32160AE8"/>
    <w:rsid w:val="6402386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7">
    <w:name w:val="page number"/>
    <w:basedOn w:val="6"/>
    <w:uiPriority w:val="0"/>
  </w:style>
  <w:style w:type="paragraph" w:customStyle="1" w:styleId="8">
    <w:name w:val="默认段落字体 Para Char Char Char Char Char Char Char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19</Pages>
  <Words>8484</Words>
  <Characters>645</Characters>
  <Lines>5</Lines>
  <Paragraphs>18</Paragraphs>
  <TotalTime>2</TotalTime>
  <ScaleCrop>false</ScaleCrop>
  <LinksUpToDate>false</LinksUpToDate>
  <CharactersWithSpaces>0</CharactersWithSpaces>
  <Application>WPS Office_11.1.0.9330_F1E327BC-269C-435d-A152-05C5408002CA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2020-01-03T00:32:00Z</dcterms:created>
  <dc:creator>838</dc:creator>
  <cp:lastModifiedBy>Administrator</cp:lastModifiedBy>
  <cp:lastPrinted>2020-01-07T06:56:40Z</cp:lastPrinted>
  <dcterms:modified xsi:type="dcterms:W3CDTF">2020-01-07T06:56:47Z</dcterms:modified>
  <dc:title>2019年司法局部门整体支出项目绩效评价报告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2052-11.1.0.9330</vt:lpwstr>
  </property>
</Properties>
</file>