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bidi w:val="0"/>
        <w:adjustRightInd w:val="0"/>
        <w:snapToGrid w:val="0"/>
        <w:spacing w:line="578" w:lineRule="exact"/>
        <w:ind w:left="0" w:leftChars="0" w:right="0" w:rightChars="0" w:firstLine="0" w:firstLine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val="en-US" w:eastAsia="zh-CN"/>
        </w:rPr>
        <w:t>档案馆专项</w:t>
      </w:r>
      <w:r>
        <w:rPr>
          <w:rFonts w:hint="eastAsia" w:ascii="方正小标宋简体" w:hAnsi="方正小标宋简体" w:eastAsia="方正小标宋简体" w:cs="方正小标宋简体"/>
          <w:b w:val="0"/>
          <w:bCs w:val="0"/>
          <w:sz w:val="44"/>
          <w:szCs w:val="44"/>
          <w:lang w:eastAsia="zh-CN"/>
        </w:rPr>
        <w:t>项目</w:t>
      </w:r>
      <w:r>
        <w:rPr>
          <w:rFonts w:hint="eastAsia" w:ascii="方正小标宋简体" w:hAnsi="方正小标宋简体" w:eastAsia="方正小标宋简体" w:cs="方正小标宋简体"/>
          <w:b w:val="0"/>
          <w:bCs w:val="0"/>
          <w:sz w:val="44"/>
          <w:szCs w:val="44"/>
          <w:lang w:val="en-US" w:eastAsia="zh-CN"/>
        </w:rPr>
        <w:t>整体支出</w:t>
      </w:r>
      <w:r>
        <w:rPr>
          <w:rFonts w:hint="eastAsia" w:ascii="方正小标宋简体" w:hAnsi="方正小标宋简体" w:eastAsia="方正小标宋简体" w:cs="方正小标宋简体"/>
          <w:b w:val="0"/>
          <w:bCs w:val="0"/>
          <w:sz w:val="44"/>
          <w:szCs w:val="44"/>
        </w:rPr>
        <w:t>绩效评价报告</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0" w:firstLineChars="0"/>
        <w:jc w:val="center"/>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档案馆专项</w:t>
      </w:r>
      <w:r>
        <w:rPr>
          <w:rFonts w:hint="eastAsia" w:ascii="仿宋_GB2312" w:eastAsia="仿宋_GB2312"/>
          <w:sz w:val="32"/>
          <w:szCs w:val="32"/>
          <w:lang w:eastAsia="zh-CN"/>
        </w:rPr>
        <w:t>项目</w:t>
      </w:r>
      <w:r>
        <w:rPr>
          <w:rFonts w:hint="eastAsia" w:ascii="仿宋_GB2312" w:eastAsia="仿宋_GB2312"/>
          <w:sz w:val="32"/>
          <w:szCs w:val="32"/>
          <w:lang w:val="en-US" w:eastAsia="zh-CN"/>
        </w:rPr>
        <w:t>整体支出</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bidi w:val="0"/>
        <w:adjustRightInd w:val="0"/>
        <w:snapToGrid w:val="0"/>
        <w:spacing w:line="578" w:lineRule="exact"/>
        <w:ind w:left="0" w:leftChars="0" w:right="0" w:rightChars="0"/>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项目实施单位基本情况</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cs="ArialUnicodeMS"/>
          <w:kern w:val="0"/>
          <w:sz w:val="32"/>
          <w:szCs w:val="32"/>
          <w:highlight w:val="none"/>
          <w:lang w:val="en-US" w:eastAsia="zh-CN"/>
        </w:rPr>
      </w:pPr>
      <w:r>
        <w:rPr>
          <w:rFonts w:hint="eastAsia" w:ascii="仿宋_GB2312" w:eastAsia="仿宋_GB2312" w:cs="ArialUnicodeMS"/>
          <w:kern w:val="0"/>
          <w:sz w:val="32"/>
          <w:szCs w:val="32"/>
          <w:highlight w:val="none"/>
          <w:lang w:val="en-US" w:eastAsia="zh-CN"/>
        </w:rPr>
        <w:t>档案馆主要职责是</w:t>
      </w:r>
      <w:r>
        <w:rPr>
          <w:rFonts w:hint="eastAsia" w:ascii="仿宋_GB2312" w:eastAsia="仿宋_GB2312" w:cs="ArialUnicodeMS" w:hAnsiTheme="minorHAnsi"/>
          <w:kern w:val="0"/>
          <w:sz w:val="32"/>
          <w:szCs w:val="32"/>
          <w:highlight w:val="none"/>
        </w:rPr>
        <w:t>贯彻落实有关法律、法规和国家有关方针政策，组织、指导、协调市直部门及下属单位、乡镇及农村</w:t>
      </w:r>
      <w:r>
        <w:rPr>
          <w:rFonts w:hint="eastAsia" w:ascii="仿宋_GB2312" w:eastAsia="仿宋_GB2312" w:cs="ArialUnicodeMS" w:hAnsiTheme="minorHAnsi"/>
          <w:kern w:val="0"/>
          <w:sz w:val="32"/>
          <w:szCs w:val="32"/>
          <w:highlight w:val="none"/>
          <w:lang w:val="en-US" w:eastAsia="zh-CN"/>
        </w:rPr>
        <w:t>等</w:t>
      </w:r>
      <w:r>
        <w:rPr>
          <w:rFonts w:hint="eastAsia" w:ascii="仿宋_GB2312" w:eastAsia="仿宋_GB2312" w:cs="ArialUnicodeMS" w:hAnsiTheme="minorHAnsi"/>
          <w:kern w:val="0"/>
          <w:sz w:val="32"/>
          <w:szCs w:val="32"/>
          <w:highlight w:val="none"/>
        </w:rPr>
        <w:t>的档案业务工作</w:t>
      </w:r>
      <w:r>
        <w:rPr>
          <w:rFonts w:hint="eastAsia" w:ascii="仿宋_GB2312" w:eastAsia="仿宋_GB2312" w:cs="ArialUnicodeMS" w:hAnsiTheme="minorHAnsi"/>
          <w:kern w:val="0"/>
          <w:sz w:val="32"/>
          <w:szCs w:val="32"/>
          <w:highlight w:val="none"/>
          <w:lang w:eastAsia="zh-CN"/>
        </w:rPr>
        <w:t>；</w:t>
      </w:r>
      <w:r>
        <w:rPr>
          <w:rFonts w:hint="eastAsia" w:ascii="仿宋_GB2312" w:eastAsia="仿宋_GB2312" w:cs="ArialUnicodeMS" w:hAnsiTheme="minorHAnsi"/>
          <w:kern w:val="0"/>
          <w:sz w:val="32"/>
          <w:szCs w:val="32"/>
          <w:highlight w:val="none"/>
        </w:rPr>
        <w:t>集中统一管理市直机关、乡镇的重要档案资料；保管具有地方特色的各种档案资料；开展档案接收、征集、整理、保管等各项工作，维护档案完整，确保档案安全；做好档案的开发利用工作，为社会需要提供服务</w:t>
      </w:r>
      <w:r>
        <w:rPr>
          <w:rFonts w:hint="eastAsia" w:ascii="仿宋_GB2312" w:eastAsia="仿宋_GB2312" w:cs="ArialUnicodeMS"/>
          <w:kern w:val="0"/>
          <w:sz w:val="32"/>
          <w:szCs w:val="32"/>
          <w:highlight w:val="none"/>
          <w:lang w:eastAsia="zh-CN"/>
        </w:rPr>
        <w:t>；</w:t>
      </w:r>
      <w:r>
        <w:rPr>
          <w:rFonts w:hint="eastAsia" w:ascii="仿宋_GB2312" w:eastAsia="仿宋_GB2312" w:cs="ArialUnicodeMS" w:hAnsiTheme="minorHAnsi"/>
          <w:kern w:val="0"/>
          <w:sz w:val="32"/>
          <w:szCs w:val="32"/>
          <w:highlight w:val="none"/>
        </w:rPr>
        <w:t>负责全区档案法制建设和宣传工作</w:t>
      </w:r>
      <w:r>
        <w:rPr>
          <w:rFonts w:hint="eastAsia" w:ascii="仿宋_GB2312" w:eastAsia="仿宋_GB2312" w:cs="ArialUnicodeMS"/>
          <w:kern w:val="0"/>
          <w:sz w:val="32"/>
          <w:szCs w:val="32"/>
          <w:highlight w:val="none"/>
          <w:lang w:eastAsia="zh-CN"/>
        </w:rPr>
        <w:t>；</w:t>
      </w:r>
      <w:r>
        <w:rPr>
          <w:rFonts w:hint="eastAsia" w:ascii="仿宋_GB2312" w:eastAsia="仿宋_GB2312" w:cs="ArialUnicodeMS" w:hAnsiTheme="minorHAnsi"/>
          <w:kern w:val="0"/>
          <w:sz w:val="32"/>
          <w:szCs w:val="32"/>
          <w:highlight w:val="none"/>
        </w:rPr>
        <w:t>承办区委、区政府交办的其它事项。</w:t>
      </w:r>
      <w:r>
        <w:rPr>
          <w:rFonts w:hint="eastAsia" w:ascii="仿宋_GB2312" w:eastAsia="仿宋_GB2312" w:cs="ArialUnicodeMS"/>
          <w:kern w:val="0"/>
          <w:sz w:val="32"/>
          <w:szCs w:val="32"/>
          <w:highlight w:val="none"/>
          <w:lang w:val="en-US" w:eastAsia="zh-CN"/>
        </w:rPr>
        <w:t>机构规格为正科级事业单位。</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2.项目资金投入情况</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2019年度共下达专项经费46万元，其中档案日常维护费21万元，档案馆升级改造费15万元，农村土地确权档案接收经费10万元，全部经费由财政拨发。</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1.档案日常维护项目。保证档案完整，不发生虫蛀鼠咬现象；改善库房环境，提高安全性；应用技术手段，对原始档案资料进行管护和数字化加工转换，延长原始档案寿命。</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2.档案馆升级改造项目。</w:t>
      </w:r>
      <w:r>
        <w:rPr>
          <w:rFonts w:hint="eastAsia" w:ascii="仿宋_GB2312" w:eastAsia="仿宋_GB2312" w:cs="ArialUnicodeMS"/>
          <w:kern w:val="0"/>
          <w:sz w:val="32"/>
          <w:szCs w:val="32"/>
          <w:highlight w:val="none"/>
          <w:lang w:val="en-US" w:eastAsia="zh-CN"/>
        </w:rPr>
        <w:t>按照《档案馆建设标准》对档案馆房顶1056平方米进行防漏修缮，对对外服务用房及档案业务和技术用房共计500平方米进行改造提升，保证硬件达到标准。</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3.农村土地确权档案接收项目。接收全区已完成的土地确权纸质档案及电子档案全部入馆。</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3" w:firstLineChars="200"/>
        <w:textAlignment w:val="auto"/>
        <w:rPr>
          <w:rFonts w:hint="eastAsia" w:ascii="黑体" w:hAnsi="黑体" w:eastAsia="黑体" w:cs="黑体"/>
          <w:b w:val="0"/>
          <w:bCs w:val="0"/>
          <w:sz w:val="32"/>
          <w:szCs w:val="32"/>
          <w:lang w:eastAsia="zh-CN"/>
        </w:rPr>
      </w:pPr>
      <w:bookmarkStart w:id="0" w:name="_GoBack"/>
      <w:r>
        <w:rPr>
          <w:rFonts w:hint="eastAsia" w:ascii="黑体" w:hAnsi="黑体" w:eastAsia="黑体" w:cs="黑体"/>
          <w:b w:val="0"/>
          <w:bCs w:val="0"/>
          <w:sz w:val="32"/>
          <w:szCs w:val="32"/>
          <w:lang w:eastAsia="zh-CN"/>
        </w:rPr>
        <w:t>二、绩效评价工作情况</w:t>
      </w:r>
    </w:p>
    <w:bookmarkEnd w:id="0"/>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ascii="仿宋_GB2312" w:eastAsia="仿宋_GB2312"/>
          <w:sz w:val="32"/>
          <w:szCs w:val="32"/>
        </w:rPr>
      </w:pPr>
      <w:r>
        <w:rPr>
          <w:rFonts w:hint="eastAsia" w:ascii="仿宋_GB2312" w:eastAsia="仿宋_GB2312"/>
          <w:sz w:val="32"/>
          <w:szCs w:val="32"/>
        </w:rPr>
        <w:t>本次绩效评价自评价工作分为三个阶段：</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ascii="仿宋_GB2312" w:eastAsia="仿宋_GB2312"/>
          <w:sz w:val="32"/>
          <w:szCs w:val="32"/>
        </w:rPr>
      </w:pPr>
      <w:r>
        <w:rPr>
          <w:rFonts w:hint="eastAsia" w:ascii="仿宋_GB2312" w:eastAsia="仿宋_GB2312"/>
          <w:sz w:val="32"/>
          <w:szCs w:val="32"/>
        </w:rPr>
        <w:t>第一阶段：成立</w:t>
      </w:r>
      <w:r>
        <w:rPr>
          <w:rFonts w:hint="eastAsia" w:ascii="仿宋_GB2312" w:eastAsia="仿宋_GB2312"/>
          <w:sz w:val="32"/>
          <w:szCs w:val="32"/>
          <w:lang w:val="en-US" w:eastAsia="zh-CN"/>
        </w:rPr>
        <w:t>项目绩效</w:t>
      </w:r>
      <w:r>
        <w:rPr>
          <w:rFonts w:hint="eastAsia" w:ascii="仿宋_GB2312" w:eastAsia="仿宋_GB2312"/>
          <w:sz w:val="32"/>
          <w:szCs w:val="32"/>
        </w:rPr>
        <w:t>评价工作小组，制定项目绩效评价具体实施方案。</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ascii="仿宋_GB2312" w:eastAsia="仿宋_GB2312"/>
          <w:sz w:val="32"/>
          <w:szCs w:val="32"/>
        </w:rPr>
      </w:pPr>
      <w:r>
        <w:rPr>
          <w:rFonts w:hint="eastAsia" w:ascii="仿宋_GB2312" w:eastAsia="仿宋_GB2312"/>
          <w:sz w:val="32"/>
          <w:szCs w:val="32"/>
        </w:rPr>
        <w:t>第二阶段：按照区财政局要求，进行自查。</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keepNext w:val="0"/>
        <w:keepLines w:val="0"/>
        <w:pageBreakBefore w:val="0"/>
        <w:widowControl w:val="0"/>
        <w:kinsoku/>
        <w:wordWrap/>
        <w:overflowPunct/>
        <w:topLinePunct w:val="0"/>
        <w:bidi w:val="0"/>
        <w:adjustRightInd w:val="0"/>
        <w:snapToGrid w:val="0"/>
        <w:spacing w:line="578" w:lineRule="exact"/>
        <w:ind w:left="0" w:leftChars="0" w:right="0" w:rightChars="0"/>
        <w:textAlignment w:val="auto"/>
        <w:rPr>
          <w:rFonts w:ascii="楷体_GB2312" w:hAnsi="楷体_GB2312" w:eastAsia="楷体_GB2312" w:cs="楷体_GB2312"/>
          <w:sz w:val="32"/>
          <w:szCs w:val="32"/>
        </w:rPr>
      </w:pPr>
      <w:r>
        <w:rPr>
          <w:rFonts w:ascii="仿宋_GB2312" w:eastAsia="仿宋_GB2312"/>
          <w:b/>
          <w:bCs/>
          <w:sz w:val="32"/>
          <w:szCs w:val="32"/>
        </w:rPr>
        <w:t xml:space="preserve">   </w:t>
      </w:r>
      <w:r>
        <w:rPr>
          <w:rFonts w:hint="eastAsia" w:ascii="楷体_GB2312" w:hAnsi="楷体_GB2312" w:eastAsia="楷体_GB2312" w:cs="楷体_GB2312"/>
          <w:sz w:val="32"/>
          <w:szCs w:val="32"/>
        </w:rPr>
        <w:t>（二）绩效评价的方法</w:t>
      </w:r>
    </w:p>
    <w:p>
      <w:pPr>
        <w:keepNext w:val="0"/>
        <w:keepLines w:val="0"/>
        <w:pageBreakBefore w:val="0"/>
        <w:widowControl w:val="0"/>
        <w:numPr>
          <w:ilvl w:val="0"/>
          <w:numId w:val="0"/>
        </w:numPr>
        <w:kinsoku/>
        <w:wordWrap/>
        <w:overflowPunct/>
        <w:topLinePunct w:val="0"/>
        <w:bidi w:val="0"/>
        <w:adjustRightInd w:val="0"/>
        <w:snapToGrid w:val="0"/>
        <w:spacing w:line="578" w:lineRule="exact"/>
        <w:ind w:left="0" w:leftChars="0" w:right="0" w:rightChars="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绩效评价工作采用单位自评价的方式开展。自评价采取数据收集汇总、指标分析、询问查证等方法，形成了自评价报告。</w:t>
      </w:r>
    </w:p>
    <w:p>
      <w:pPr>
        <w:keepNext w:val="0"/>
        <w:keepLines w:val="0"/>
        <w:pageBreakBefore w:val="0"/>
        <w:widowControl w:val="0"/>
        <w:kinsoku/>
        <w:wordWrap/>
        <w:overflowPunct/>
        <w:topLinePunct w:val="0"/>
        <w:bidi w:val="0"/>
        <w:adjustRightInd w:val="0"/>
        <w:snapToGrid w:val="0"/>
        <w:spacing w:line="578" w:lineRule="exact"/>
        <w:ind w:left="0" w:leftChars="0" w:right="0" w:rightChars="0"/>
        <w:textAlignment w:val="auto"/>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rPr>
        <w:t>项目评价指标体系总分实行百分制，</w:t>
      </w:r>
      <w:r>
        <w:rPr>
          <w:rFonts w:ascii="仿宋_GB2312" w:eastAsia="仿宋_GB2312"/>
          <w:sz w:val="32"/>
          <w:szCs w:val="32"/>
        </w:rPr>
        <w:t>90</w:t>
      </w:r>
      <w:r>
        <w:rPr>
          <w:rFonts w:hint="eastAsia" w:ascii="仿宋_GB2312" w:eastAsia="仿宋_GB2312"/>
          <w:sz w:val="32"/>
          <w:szCs w:val="32"/>
        </w:rPr>
        <w:t>分以上为优秀、</w:t>
      </w:r>
      <w:r>
        <w:rPr>
          <w:rFonts w:ascii="仿宋_GB2312" w:eastAsia="仿宋_GB2312"/>
          <w:sz w:val="32"/>
          <w:szCs w:val="32"/>
        </w:rPr>
        <w:t>80</w:t>
      </w:r>
      <w:r>
        <w:rPr>
          <w:rFonts w:hint="eastAsia" w:ascii="仿宋_GB2312" w:eastAsia="仿宋_GB2312"/>
          <w:sz w:val="32"/>
          <w:szCs w:val="32"/>
        </w:rPr>
        <w:t>分以上为良好、</w:t>
      </w:r>
      <w:r>
        <w:rPr>
          <w:rFonts w:ascii="仿宋_GB2312" w:eastAsia="仿宋_GB2312"/>
          <w:sz w:val="32"/>
          <w:szCs w:val="32"/>
        </w:rPr>
        <w:t>70</w:t>
      </w:r>
      <w:r>
        <w:rPr>
          <w:rFonts w:hint="eastAsia" w:ascii="仿宋_GB2312" w:eastAsia="仿宋_GB2312"/>
          <w:sz w:val="32"/>
          <w:szCs w:val="32"/>
        </w:rPr>
        <w:t>分以上为一般、</w:t>
      </w:r>
      <w:r>
        <w:rPr>
          <w:rFonts w:ascii="仿宋_GB2312" w:eastAsia="仿宋_GB2312"/>
          <w:sz w:val="32"/>
          <w:szCs w:val="32"/>
        </w:rPr>
        <w:t>60</w:t>
      </w:r>
      <w:r>
        <w:rPr>
          <w:rFonts w:hint="eastAsia" w:ascii="仿宋_GB2312" w:eastAsia="仿宋_GB2312"/>
          <w:sz w:val="32"/>
          <w:szCs w:val="32"/>
        </w:rPr>
        <w:t>分以上为及格。</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立项情况分析（10分）。经评估，三个专项项目立项依据合理，评估为满分。</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2.资金落实情况分析（10分）。经评估，资金拨付及时到位，均按照标准用于档案馆专项项目，评估为满分。</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3.财务管理（10分）。经评估，项目资金使用符合相关的财务管理制度规定，不存在截留、挤占、挪用、虚列支出等情况，评估为满分。</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4.产出指标（30分）。经评估，一是档案查阅利用方面，共接待利用者2377人次，提供档案4303卷，出具证明2664份，整理图书资料120册；开放档案方面，对馆藏1989年的档案进行了审查、鉴定，共审查88个全宗1461卷，并对符合条件的86个全宗1083卷对外开放，已累计向社会开放档案17770卷；档案数字化方面，对馆藏文书档案进行文件级条目著录，录入目录12.49万条，累计扫描271.67万幅，录入目录104.17万条；接收档案进馆方面，新入库南水北调项目档案，共计1547件，即337卷。二是对档案馆服务功能进行提升改造，增设了档案数字化加工室、裱糊室、开放档案阅览区等服务功能专间，购置了LED电子显示屏，增添了窗口服务电子评价器。三是2019年涉及农村土地确权档案的部分电子版及纸质版已按照计划进行移交入馆。评估为25分。</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ascii="仿宋_GB2312" w:eastAsia="仿宋_GB2312"/>
          <w:sz w:val="32"/>
          <w:szCs w:val="32"/>
        </w:rPr>
      </w:pPr>
      <w:r>
        <w:rPr>
          <w:rFonts w:hint="eastAsia" w:ascii="仿宋_GB2312" w:eastAsia="仿宋_GB2312"/>
          <w:sz w:val="32"/>
          <w:szCs w:val="32"/>
          <w:lang w:val="en-US" w:eastAsia="zh-CN"/>
        </w:rPr>
        <w:t>5.效益指标（30分）。经评估，一是2019年为多个单位提供文书档案查阅服务，为史志办撰写史志提供档案资料，为相关部门业务的开展提供了决策依据，进一步提升决策效能；为多名群众查阅工龄、婚姻等档案，为其办理退休等相关事宜提供了有力依据，二是档案馆改造提升后为群众、单位群体查阅档案提供了更加便捷的查阅体验，提高了查档效率</w:t>
      </w:r>
      <w:r>
        <w:rPr>
          <w:rFonts w:hint="eastAsia" w:ascii="仿宋_GB2312" w:hAnsi="仿宋_GB2312" w:eastAsia="仿宋_GB2312" w:cs="仿宋_GB2312"/>
          <w:sz w:val="32"/>
          <w:szCs w:val="32"/>
          <w:lang w:val="en-US" w:eastAsia="zh-CN"/>
        </w:rPr>
        <w:t>，</w:t>
      </w:r>
      <w:r>
        <w:rPr>
          <w:rFonts w:hint="eastAsia" w:ascii="仿宋_GB2312" w:eastAsia="仿宋_GB2312"/>
          <w:sz w:val="32"/>
          <w:szCs w:val="32"/>
          <w:lang w:val="en-US" w:eastAsia="zh-CN"/>
        </w:rPr>
        <w:t>档案设施设备能够正常运行，按时将档案电子版及纸质版归档</w:t>
      </w:r>
      <w:r>
        <w:rPr>
          <w:rFonts w:hint="eastAsia" w:ascii="仿宋_GB2312" w:eastAsia="仿宋_GB2312"/>
          <w:sz w:val="32"/>
          <w:szCs w:val="32"/>
        </w:rPr>
        <w:t>，评估为满分。</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sz w:val="32"/>
          <w:szCs w:val="32"/>
          <w:lang w:val="en-US" w:eastAsia="zh-CN"/>
        </w:rPr>
        <w:t>6.</w:t>
      </w:r>
      <w:r>
        <w:rPr>
          <w:rFonts w:hint="eastAsia" w:ascii="仿宋_GB2312" w:eastAsia="仿宋_GB2312"/>
          <w:sz w:val="32"/>
          <w:szCs w:val="32"/>
        </w:rPr>
        <w:t>满意度指标（</w:t>
      </w:r>
      <w:r>
        <w:rPr>
          <w:rFonts w:ascii="仿宋_GB2312" w:eastAsia="仿宋_GB2312"/>
          <w:sz w:val="32"/>
          <w:szCs w:val="32"/>
        </w:rPr>
        <w:t>10</w:t>
      </w:r>
      <w:r>
        <w:rPr>
          <w:rFonts w:hint="eastAsia" w:ascii="仿宋_GB2312" w:eastAsia="仿宋_GB2312"/>
          <w:sz w:val="32"/>
          <w:szCs w:val="32"/>
        </w:rPr>
        <w:t>分）。经评估，群众满意度高，评估为满分。</w:t>
      </w:r>
    </w:p>
    <w:p>
      <w:pPr>
        <w:keepNext w:val="0"/>
        <w:keepLines w:val="0"/>
        <w:pageBreakBefore w:val="0"/>
        <w:widowControl w:val="0"/>
        <w:numPr>
          <w:ilvl w:val="0"/>
          <w:numId w:val="0"/>
        </w:numPr>
        <w:kinsoku/>
        <w:wordWrap/>
        <w:overflowPunct/>
        <w:topLinePunct w:val="0"/>
        <w:bidi w:val="0"/>
        <w:adjustRightInd w:val="0"/>
        <w:snapToGrid w:val="0"/>
        <w:spacing w:line="578" w:lineRule="exact"/>
        <w:ind w:left="0" w:leftChars="0" w:right="0" w:rightChars="0" w:firstLine="640" w:firstLineChars="200"/>
        <w:textAlignment w:val="auto"/>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rPr>
      </w:pPr>
      <w:r>
        <w:rPr>
          <w:rFonts w:hint="eastAsia" w:ascii="仿宋_GB2312" w:eastAsia="仿宋_GB2312"/>
          <w:sz w:val="32"/>
          <w:szCs w:val="32"/>
        </w:rPr>
        <w:t>2019年度</w:t>
      </w:r>
      <w:r>
        <w:rPr>
          <w:rFonts w:hint="eastAsia" w:ascii="仿宋_GB2312" w:eastAsia="仿宋_GB2312"/>
          <w:sz w:val="32"/>
          <w:szCs w:val="32"/>
          <w:lang w:val="en-US" w:eastAsia="zh-CN"/>
        </w:rPr>
        <w:t>档案馆专项</w:t>
      </w:r>
      <w:r>
        <w:rPr>
          <w:rFonts w:hint="eastAsia" w:ascii="仿宋_GB2312" w:eastAsia="仿宋_GB2312"/>
          <w:sz w:val="32"/>
          <w:szCs w:val="32"/>
        </w:rPr>
        <w:t>费</w:t>
      </w:r>
      <w:r>
        <w:rPr>
          <w:rFonts w:hint="eastAsia" w:ascii="仿宋_GB2312" w:eastAsia="仿宋_GB2312"/>
          <w:sz w:val="32"/>
          <w:szCs w:val="32"/>
          <w:lang w:val="en-US" w:eastAsia="zh-CN"/>
        </w:rPr>
        <w:t>用</w:t>
      </w:r>
      <w:r>
        <w:rPr>
          <w:rFonts w:hint="eastAsia" w:ascii="仿宋_GB2312" w:eastAsia="仿宋_GB2312"/>
          <w:sz w:val="32"/>
          <w:szCs w:val="32"/>
        </w:rPr>
        <w:t>投入合理、资金落实到位、使用规范透明、监督及时有效</w:t>
      </w:r>
      <w:r>
        <w:rPr>
          <w:rFonts w:hint="eastAsia" w:ascii="仿宋_GB2312" w:eastAsia="仿宋_GB2312"/>
          <w:sz w:val="32"/>
          <w:szCs w:val="32"/>
          <w:lang w:eastAsia="zh-CN"/>
        </w:rPr>
        <w:t>，</w:t>
      </w:r>
      <w:r>
        <w:rPr>
          <w:rFonts w:hint="eastAsia" w:ascii="仿宋_GB2312" w:eastAsia="仿宋_GB2312"/>
          <w:sz w:val="32"/>
          <w:szCs w:val="32"/>
          <w:lang w:val="en-US" w:eastAsia="zh-CN"/>
        </w:rPr>
        <w:t>服务社会功能更加突出，为单位群体、群众办理相关事宜提供了有力佐证材料，取得了良好的社会效益。</w:t>
      </w:r>
      <w:r>
        <w:rPr>
          <w:rFonts w:hint="eastAsia" w:ascii="仿宋_GB2312" w:eastAsia="仿宋_GB2312"/>
          <w:sz w:val="32"/>
          <w:szCs w:val="32"/>
        </w:rPr>
        <w:t>从总体上看，</w:t>
      </w:r>
      <w:r>
        <w:rPr>
          <w:rFonts w:hint="eastAsia" w:ascii="仿宋_GB2312" w:eastAsia="仿宋_GB2312"/>
          <w:sz w:val="32"/>
          <w:szCs w:val="32"/>
          <w:lang w:val="en-US" w:eastAsia="zh-CN"/>
        </w:rPr>
        <w:t>项目完成情况好，</w:t>
      </w:r>
      <w:r>
        <w:rPr>
          <w:rFonts w:hint="eastAsia" w:ascii="仿宋_GB2312" w:eastAsia="仿宋_GB2312"/>
          <w:sz w:val="32"/>
          <w:szCs w:val="32"/>
        </w:rPr>
        <w:t>绩效评价总体得分为</w:t>
      </w:r>
      <w:r>
        <w:rPr>
          <w:rFonts w:hint="eastAsia" w:ascii="仿宋_GB2312" w:eastAsia="仿宋_GB2312"/>
          <w:sz w:val="32"/>
          <w:szCs w:val="32"/>
          <w:lang w:val="en-US" w:eastAsia="zh-CN"/>
        </w:rPr>
        <w:t>95</w:t>
      </w:r>
      <w:r>
        <w:rPr>
          <w:rFonts w:hint="eastAsia" w:ascii="仿宋_GB2312" w:eastAsia="仿宋_GB2312"/>
          <w:sz w:val="32"/>
          <w:szCs w:val="32"/>
        </w:rPr>
        <w:t>分，为优秀等次。</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bidi w:val="0"/>
        <w:adjustRightInd w:val="0"/>
        <w:snapToGrid w:val="0"/>
        <w:spacing w:line="578" w:lineRule="exact"/>
        <w:ind w:left="0" w:leftChars="0" w:right="0" w:rightChars="0"/>
        <w:textAlignment w:val="auto"/>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6FF" w:usb1="420024FF" w:usb2="02000000" w:usb3="00000000" w:csb0="2000019F" w:csb1="00000000"/>
  </w:font>
  <w:font w:name="Calibri">
    <w:panose1 w:val="020F0502020204030204"/>
    <w:charset w:val="00"/>
    <w:family w:val="decorative"/>
    <w:pitch w:val="default"/>
    <w:sig w:usb0="E4002EFF" w:usb1="C000247B" w:usb2="00000009" w:usb3="00000000" w:csb0="200001FF" w:csb1="00000000"/>
  </w:font>
  <w:font w:name="Arial">
    <w:panose1 w:val="020B0604020202020204"/>
    <w:charset w:val="01"/>
    <w:family w:val="decorative"/>
    <w:pitch w:val="default"/>
    <w:sig w:usb0="E0002EFF" w:usb1="C000785B" w:usb2="00000009" w:usb3="00000000" w:csb0="400001FF" w:csb1="FFFF0000"/>
  </w:font>
  <w:font w:name="Courier New">
    <w:panose1 w:val="02070309020205020404"/>
    <w:charset w:val="01"/>
    <w:family w:val="swiss"/>
    <w:pitch w:val="default"/>
    <w:sig w:usb0="E0002E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6FF" w:usb1="420024FF" w:usb2="02000000" w:usb3="00000000" w:csb0="2000019F" w:csb1="00000000"/>
  </w:font>
  <w:font w:name="Calibri">
    <w:panose1 w:val="020F0502020204030204"/>
    <w:charset w:val="00"/>
    <w:family w:val="roman"/>
    <w:pitch w:val="default"/>
    <w:sig w:usb0="E4002EFF" w:usb1="C000247B" w:usb2="00000009" w:usb3="00000000" w:csb0="200001FF" w:csb1="00000000"/>
  </w:font>
  <w:font w:name="Arial">
    <w:panose1 w:val="020B0604020202020204"/>
    <w:charset w:val="01"/>
    <w:family w:val="roman"/>
    <w:pitch w:val="default"/>
    <w:sig w:usb0="E0002EFF" w:usb1="C000785B" w:usb2="00000009" w:usb3="00000000" w:csb0="400001FF" w:csb1="FFFF0000"/>
  </w:font>
  <w:font w:name="Courier New">
    <w:panose1 w:val="02070309020205020404"/>
    <w:charset w:val="01"/>
    <w:family w:val="decorative"/>
    <w:pitch w:val="default"/>
    <w:sig w:usb0="E0002E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6FF" w:usb1="420024FF" w:usb2="02000000" w:usb3="00000000" w:csb0="2000019F" w:csb1="00000000"/>
  </w:font>
  <w:font w:name="Calibri">
    <w:panose1 w:val="020F0502020204030204"/>
    <w:charset w:val="00"/>
    <w:family w:val="modern"/>
    <w:pitch w:val="default"/>
    <w:sig w:usb0="E4002EFF" w:usb1="C000247B" w:usb2="00000009" w:usb3="00000000" w:csb0="200001FF" w:csb1="00000000"/>
  </w:font>
  <w:font w:name="Arial">
    <w:panose1 w:val="020B0604020202020204"/>
    <w:charset w:val="01"/>
    <w:family w:val="modern"/>
    <w:pitch w:val="default"/>
    <w:sig w:usb0="E0002EFF" w:usb1="C000785B" w:usb2="00000009" w:usb3="00000000" w:csb0="400001FF" w:csb1="FFFF0000"/>
  </w:font>
  <w:font w:name="Courier New">
    <w:panose1 w:val="02070309020205020404"/>
    <w:charset w:val="01"/>
    <w:family w:val="roman"/>
    <w:pitch w:val="default"/>
    <w:sig w:usb0="E0002E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roman"/>
    <w:pitch w:val="default"/>
    <w:sig w:usb0="800002BF" w:usb1="38CF7CFA" w:usb2="00000016" w:usb3="00000000" w:csb0="00040001" w:csb1="00000000"/>
  </w:font>
  <w:font w:name="楷体_GB2312">
    <w:panose1 w:val="02010609030101010101"/>
    <w:charset w:val="86"/>
    <w:family w:val="roman"/>
    <w:pitch w:val="default"/>
    <w:sig w:usb0="00000001" w:usb1="080E0000" w:usb2="00000000" w:usb3="00000000" w:csb0="00040000" w:csb1="00000000"/>
  </w:font>
  <w:font w:name="仿宋_GB2312">
    <w:panose1 w:val="02010609030101010101"/>
    <w:charset w:val="86"/>
    <w:family w:val="roma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Gulim">
    <w:altName w:val="Malgun Gothic"/>
    <w:panose1 w:val="020B0600000101010101"/>
    <w:charset w:val="81"/>
    <w:family w:val="auto"/>
    <w:pitch w:val="default"/>
    <w:sig w:usb0="00000000" w:usb1="00000000" w:usb2="00000000" w:usb3="00000000" w:csb0="00000000" w:csb1="00000000"/>
  </w:font>
  <w:font w:name="Malgun Gothic">
    <w:panose1 w:val="020B0503020000020004"/>
    <w:charset w:val="81"/>
    <w:family w:val="auto"/>
    <w:pitch w:val="default"/>
    <w:sig w:usb0="9000002F" w:usb1="29D77CFB" w:usb2="00000012" w:usb3="00000000" w:csb0="00080001" w:csb1="00000000"/>
  </w:font>
  <w:font w:name="仿宋_GB2312">
    <w:panose1 w:val="02010609030101010101"/>
    <w:charset w:val="86"/>
    <w:family w:val="swiss"/>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仿宋_GB2312">
    <w:panose1 w:val="02010609030101010101"/>
    <w:charset w:val="86"/>
    <w:family w:val="decorative"/>
    <w:pitch w:val="default"/>
    <w:sig w:usb0="00000001" w:usb1="080E0000" w:usb2="00000000" w:usb3="00000000" w:csb0="00040000" w:csb1="00000000"/>
  </w:font>
  <w:font w:name="楷体">
    <w:panose1 w:val="02010609060101010101"/>
    <w:charset w:val="86"/>
    <w:family w:val="swiss"/>
    <w:pitch w:val="default"/>
    <w:sig w:usb0="800002BF" w:usb1="38CF7CFA" w:usb2="00000016" w:usb3="00000000" w:csb0="00040001" w:csb1="00000000"/>
  </w:font>
  <w:font w:name="楷体_GB2312">
    <w:panose1 w:val="02010609030101010101"/>
    <w:charset w:val="86"/>
    <w:family w:val="swiss"/>
    <w:pitch w:val="default"/>
    <w:sig w:usb0="00000001" w:usb1="080E0000" w:usb2="00000000" w:usb3="00000000" w:csb0="00040000" w:csb1="00000000"/>
  </w:font>
  <w:font w:name="仿宋">
    <w:panose1 w:val="02010609060101010101"/>
    <w:charset w:val="86"/>
    <w:family w:val="decorative"/>
    <w:pitch w:val="default"/>
    <w:sig w:usb0="800002BF" w:usb1="38CF7CFA" w:usb2="00000016" w:usb3="00000000" w:csb0="00040001" w:csb1="00000000"/>
  </w:font>
  <w:font w:name="楷体">
    <w:panose1 w:val="02010609060101010101"/>
    <w:charset w:val="86"/>
    <w:family w:val="decorative"/>
    <w:pitch w:val="default"/>
    <w:sig w:usb0="800002BF" w:usb1="38CF7CFA" w:usb2="00000016" w:usb3="00000000" w:csb0="00040001" w:csb1="00000000"/>
  </w:font>
  <w:font w:name="楷体_GB2312">
    <w:panose1 w:val="02010609030101010101"/>
    <w:charset w:val="86"/>
    <w:family w:val="decorative"/>
    <w:pitch w:val="default"/>
    <w:sig w:usb0="00000001" w:usb1="080E0000" w:usb2="00000000" w:usb3="00000000" w:csb0="00040000" w:csb1="00000000"/>
  </w:font>
  <w:font w:name="仿宋">
    <w:panose1 w:val="02010609060101010101"/>
    <w:charset w:val="86"/>
    <w:family w:val="roma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黑体">
    <w:panose1 w:val="02010600030101010101"/>
    <w:charset w:val="86"/>
    <w:family w:val="decorative"/>
    <w:pitch w:val="default"/>
    <w:sig w:usb0="800002BF" w:usb1="38CF7CFA" w:usb2="00000016" w:usb3="00000000" w:csb0="00040001" w:csb1="00000000"/>
  </w:font>
  <w:font w:name="黑体">
    <w:panose1 w:val="02010600030101010101"/>
    <w:charset w:val="86"/>
    <w:family w:val="roman"/>
    <w:pitch w:val="default"/>
    <w:sig w:usb0="800002BF" w:usb1="38CF7CFA" w:usb2="00000016" w:usb3="00000000" w:csb0="00040001" w:csb1="00000000"/>
  </w:font>
  <w:font w:name="黑体">
    <w:panose1 w:val="02010600030101010101"/>
    <w:charset w:val="86"/>
    <w:family w:val="modern"/>
    <w:pitch w:val="default"/>
    <w:sig w:usb0="800002BF" w:usb1="38CF7CFA" w:usb2="00000016" w:usb3="00000000" w:csb0="00040001" w:csb1="00000000"/>
  </w:font>
  <w:font w:name="黑体">
    <w:panose1 w:val="02010600030101010101"/>
    <w:charset w:val="86"/>
    <w:family w:val="swiss"/>
    <w:pitch w:val="default"/>
    <w:sig w:usb0="800002BF" w:usb1="38CF7CFA" w:usb2="00000016" w:usb3="00000000" w:csb0="00040001" w:csb1="00000000"/>
  </w:font>
  <w:font w:name="Helvetica Neue">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4BD627B"/>
    <w:rsid w:val="11FC1414"/>
    <w:rsid w:val="1343344A"/>
    <w:rsid w:val="16C85A4A"/>
    <w:rsid w:val="21275E26"/>
    <w:rsid w:val="2A2941B7"/>
    <w:rsid w:val="3B053CD7"/>
    <w:rsid w:val="3DEB2E83"/>
    <w:rsid w:val="3E861B53"/>
    <w:rsid w:val="3F136DDC"/>
    <w:rsid w:val="4357371E"/>
    <w:rsid w:val="497C37BA"/>
    <w:rsid w:val="4E4124C8"/>
    <w:rsid w:val="566204DC"/>
    <w:rsid w:val="5F1C688C"/>
    <w:rsid w:val="66906486"/>
    <w:rsid w:val="6CDC2990"/>
    <w:rsid w:val="6D9F331C"/>
    <w:rsid w:val="7CED74C7"/>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uiPriority w:val="0"/>
  </w:style>
  <w:style w:type="table" w:default="1" w:styleId="8">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2020-01-05T08:45:00Z</cp:lastPrinted>
  <dcterms:modified xsi:type="dcterms:W3CDTF">2020-01-06T01:42:39Z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