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bidi w:val="0"/>
        <w:adjustRightInd w:val="0"/>
        <w:snapToGrid w:val="0"/>
        <w:spacing w:line="578" w:lineRule="exact"/>
        <w:ind w:left="0" w:leftChars="0" w:right="0" w:rightChars="0" w:firstLine="0" w:firstLineChars="0"/>
        <w:jc w:val="center"/>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val="en-US" w:eastAsia="zh-CN"/>
        </w:rPr>
        <w:t>农村土地确权档案接收</w:t>
      </w:r>
      <w:r>
        <w:rPr>
          <w:rFonts w:hint="eastAsia" w:ascii="方正小标宋简体" w:hAnsi="方正小标宋简体" w:eastAsia="方正小标宋简体" w:cs="方正小标宋简体"/>
          <w:b w:val="0"/>
          <w:bCs w:val="0"/>
          <w:sz w:val="44"/>
          <w:szCs w:val="44"/>
          <w:lang w:eastAsia="zh-CN"/>
        </w:rPr>
        <w:t>项目</w:t>
      </w:r>
      <w:r>
        <w:rPr>
          <w:rFonts w:hint="eastAsia" w:ascii="方正小标宋简体" w:hAnsi="方正小标宋简体" w:eastAsia="方正小标宋简体" w:cs="方正小标宋简体"/>
          <w:b w:val="0"/>
          <w:bCs w:val="0"/>
          <w:sz w:val="44"/>
          <w:szCs w:val="44"/>
        </w:rPr>
        <w:t>绩效评价报告</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0" w:firstLineChars="0"/>
        <w:jc w:val="center"/>
        <w:rPr>
          <w:rFonts w:hint="eastAsia" w:ascii="仿宋" w:hAnsi="仿宋" w:eastAsia="仿宋" w:cs="仿宋"/>
          <w:sz w:val="32"/>
          <w:szCs w:val="32"/>
          <w:lang w:eastAsia="zh-CN"/>
        </w:rPr>
      </w:pP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w:t>
      </w:r>
      <w:r>
        <w:rPr>
          <w:rFonts w:hint="eastAsia" w:ascii="仿宋_GB2312" w:eastAsia="仿宋_GB2312"/>
          <w:sz w:val="32"/>
          <w:szCs w:val="32"/>
          <w:lang w:val="en-US" w:eastAsia="zh-CN"/>
        </w:rPr>
        <w:t>对农村土地确权档案接收</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keepNext w:val="0"/>
        <w:keepLines w:val="0"/>
        <w:pageBreakBefore w:val="0"/>
        <w:widowControl w:val="0"/>
        <w:kinsoku/>
        <w:wordWrap/>
        <w:overflowPunct/>
        <w:topLinePunct w:val="0"/>
        <w:bidi w:val="0"/>
        <w:adjustRightInd w:val="0"/>
        <w:snapToGrid w:val="0"/>
        <w:spacing w:line="578" w:lineRule="exact"/>
        <w:ind w:left="0" w:leftChars="0" w:right="0" w:rightChars="0"/>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keepNext w:val="0"/>
        <w:keepLines w:val="0"/>
        <w:pageBreakBefore w:val="0"/>
        <w:widowControl w:val="0"/>
        <w:kinsoku/>
        <w:wordWrap/>
        <w:overflowPunct/>
        <w:topLinePunct w:val="0"/>
        <w:autoSpaceDE w:val="0"/>
        <w:autoSpaceDN w:val="0"/>
        <w:bidi w:val="0"/>
        <w:adjustRightInd w:val="0"/>
        <w:snapToGrid w:val="0"/>
        <w:spacing w:after="0" w:line="578" w:lineRule="exact"/>
        <w:ind w:left="0" w:leftChars="0" w:right="0" w:rightChars="0" w:firstLine="640" w:firstLineChars="200"/>
        <w:jc w:val="left"/>
        <w:textAlignment w:val="auto"/>
        <w:outlineLvl w:val="9"/>
        <w:rPr>
          <w:rFonts w:hint="eastAsia" w:ascii="仿宋_GB2312" w:eastAsia="仿宋_GB2312" w:cs="ArialUnicodeMS"/>
          <w:kern w:val="0"/>
          <w:sz w:val="32"/>
          <w:szCs w:val="32"/>
          <w:highlight w:val="none"/>
          <w:lang w:val="en-US" w:eastAsia="zh-CN"/>
        </w:rPr>
      </w:pPr>
      <w:r>
        <w:rPr>
          <w:rFonts w:hint="eastAsia" w:ascii="仿宋_GB2312" w:eastAsia="仿宋_GB2312" w:cs="ArialUnicodeMS"/>
          <w:kern w:val="0"/>
          <w:sz w:val="32"/>
          <w:szCs w:val="32"/>
          <w:highlight w:val="none"/>
          <w:lang w:val="en-US" w:eastAsia="zh-CN"/>
        </w:rPr>
        <w:t>（1）单位基本情况</w:t>
      </w:r>
    </w:p>
    <w:p>
      <w:pPr>
        <w:keepNext w:val="0"/>
        <w:keepLines w:val="0"/>
        <w:pageBreakBefore w:val="0"/>
        <w:widowControl w:val="0"/>
        <w:kinsoku/>
        <w:wordWrap/>
        <w:overflowPunct/>
        <w:topLinePunct w:val="0"/>
        <w:autoSpaceDE w:val="0"/>
        <w:autoSpaceDN w:val="0"/>
        <w:bidi w:val="0"/>
        <w:adjustRightInd w:val="0"/>
        <w:snapToGrid w:val="0"/>
        <w:spacing w:after="0" w:line="578" w:lineRule="exact"/>
        <w:ind w:left="0" w:leftChars="0" w:right="0" w:rightChars="0" w:firstLine="640" w:firstLineChars="200"/>
        <w:jc w:val="left"/>
        <w:textAlignment w:val="auto"/>
        <w:outlineLvl w:val="9"/>
        <w:rPr>
          <w:rFonts w:hint="eastAsia" w:ascii="仿宋_GB2312" w:eastAsia="仿宋_GB2312" w:cs="ArialUnicodeMS" w:hAnsiTheme="minorHAnsi"/>
          <w:kern w:val="0"/>
          <w:sz w:val="32"/>
          <w:szCs w:val="32"/>
          <w:highlight w:val="none"/>
        </w:rPr>
      </w:pPr>
      <w:r>
        <w:rPr>
          <w:rFonts w:hint="eastAsia" w:ascii="仿宋_GB2312" w:eastAsia="仿宋_GB2312" w:cs="ArialUnicodeMS"/>
          <w:kern w:val="0"/>
          <w:sz w:val="32"/>
          <w:szCs w:val="32"/>
          <w:highlight w:val="none"/>
          <w:lang w:val="en-US" w:eastAsia="zh-CN"/>
        </w:rPr>
        <w:t>档案馆主要职责是</w:t>
      </w:r>
      <w:r>
        <w:rPr>
          <w:rFonts w:hint="eastAsia" w:ascii="仿宋_GB2312" w:eastAsia="仿宋_GB2312" w:cs="ArialUnicodeMS" w:hAnsiTheme="minorHAnsi"/>
          <w:kern w:val="0"/>
          <w:sz w:val="32"/>
          <w:szCs w:val="32"/>
          <w:highlight w:val="none"/>
        </w:rPr>
        <w:t>贯彻落实有关法律、法规和国家有关方针政策，组织、指导、协调市直部门及下属单位、乡镇及农村</w:t>
      </w:r>
      <w:r>
        <w:rPr>
          <w:rFonts w:hint="eastAsia" w:ascii="仿宋_GB2312" w:eastAsia="仿宋_GB2312" w:cs="ArialUnicodeMS" w:hAnsiTheme="minorHAnsi"/>
          <w:kern w:val="0"/>
          <w:sz w:val="32"/>
          <w:szCs w:val="32"/>
          <w:highlight w:val="none"/>
          <w:lang w:val="en-US" w:eastAsia="zh-CN"/>
        </w:rPr>
        <w:t>等</w:t>
      </w:r>
      <w:r>
        <w:rPr>
          <w:rFonts w:hint="eastAsia" w:ascii="仿宋_GB2312" w:eastAsia="仿宋_GB2312" w:cs="ArialUnicodeMS" w:hAnsiTheme="minorHAnsi"/>
          <w:kern w:val="0"/>
          <w:sz w:val="32"/>
          <w:szCs w:val="32"/>
          <w:highlight w:val="none"/>
        </w:rPr>
        <w:t>的档案业务工作</w:t>
      </w:r>
      <w:r>
        <w:rPr>
          <w:rFonts w:hint="eastAsia" w:ascii="仿宋_GB2312" w:eastAsia="仿宋_GB2312" w:cs="ArialUnicodeMS" w:hAnsiTheme="minorHAnsi"/>
          <w:kern w:val="0"/>
          <w:sz w:val="32"/>
          <w:szCs w:val="32"/>
          <w:highlight w:val="none"/>
          <w:lang w:eastAsia="zh-CN"/>
        </w:rPr>
        <w:t>；</w:t>
      </w:r>
      <w:r>
        <w:rPr>
          <w:rFonts w:hint="eastAsia" w:ascii="仿宋_GB2312" w:eastAsia="仿宋_GB2312" w:cs="ArialUnicodeMS" w:hAnsiTheme="minorHAnsi"/>
          <w:kern w:val="0"/>
          <w:sz w:val="32"/>
          <w:szCs w:val="32"/>
          <w:highlight w:val="none"/>
        </w:rPr>
        <w:t>集中统一管理市直机关、乡镇的重要档案资料；保管具有地方特色的各种档案资料；开展档案接收、征集、整理、保管等各项工作，维护档案完整，确保档案安全；做好档案的开发利用工作，为社会需要提供服务</w:t>
      </w:r>
      <w:r>
        <w:rPr>
          <w:rFonts w:hint="eastAsia" w:ascii="仿宋_GB2312" w:eastAsia="仿宋_GB2312" w:cs="ArialUnicodeMS"/>
          <w:kern w:val="0"/>
          <w:sz w:val="32"/>
          <w:szCs w:val="32"/>
          <w:highlight w:val="none"/>
          <w:lang w:eastAsia="zh-CN"/>
        </w:rPr>
        <w:t>；</w:t>
      </w:r>
      <w:r>
        <w:rPr>
          <w:rFonts w:hint="eastAsia" w:ascii="仿宋_GB2312" w:eastAsia="仿宋_GB2312" w:cs="ArialUnicodeMS" w:hAnsiTheme="minorHAnsi"/>
          <w:kern w:val="0"/>
          <w:sz w:val="32"/>
          <w:szCs w:val="32"/>
          <w:highlight w:val="none"/>
        </w:rPr>
        <w:t>负责全区档案法制建设和宣传工作</w:t>
      </w:r>
      <w:r>
        <w:rPr>
          <w:rFonts w:hint="eastAsia" w:ascii="仿宋_GB2312" w:eastAsia="仿宋_GB2312" w:cs="ArialUnicodeMS"/>
          <w:kern w:val="0"/>
          <w:sz w:val="32"/>
          <w:szCs w:val="32"/>
          <w:highlight w:val="none"/>
          <w:lang w:eastAsia="zh-CN"/>
        </w:rPr>
        <w:t>；</w:t>
      </w:r>
      <w:r>
        <w:rPr>
          <w:rFonts w:hint="eastAsia" w:ascii="仿宋_GB2312" w:eastAsia="仿宋_GB2312" w:cs="ArialUnicodeMS" w:hAnsiTheme="minorHAnsi"/>
          <w:kern w:val="0"/>
          <w:sz w:val="32"/>
          <w:szCs w:val="32"/>
          <w:highlight w:val="none"/>
        </w:rPr>
        <w:t>承办区委、区政府交办的其它事项。</w:t>
      </w:r>
      <w:r>
        <w:rPr>
          <w:rFonts w:hint="eastAsia" w:ascii="仿宋_GB2312" w:eastAsia="仿宋_GB2312" w:cs="ArialUnicodeMS"/>
          <w:kern w:val="0"/>
          <w:sz w:val="32"/>
          <w:szCs w:val="32"/>
          <w:highlight w:val="none"/>
          <w:lang w:val="en-US" w:eastAsia="zh-CN"/>
        </w:rPr>
        <w:t>机构规格为正科级事业单位。</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rPr>
          <w:rFonts w:hint="eastAsia" w:ascii="仿宋_GB2312" w:eastAsia="仿宋_GB2312" w:cs="ArialUnicodeMS"/>
          <w:kern w:val="0"/>
          <w:sz w:val="32"/>
          <w:szCs w:val="32"/>
          <w:highlight w:val="none"/>
          <w:lang w:val="en-US" w:eastAsia="zh-CN"/>
        </w:rPr>
      </w:pPr>
      <w:r>
        <w:rPr>
          <w:rFonts w:hint="eastAsia" w:ascii="仿宋_GB2312" w:eastAsia="仿宋_GB2312" w:cs="ArialUnicodeMS"/>
          <w:kern w:val="0"/>
          <w:sz w:val="32"/>
          <w:szCs w:val="32"/>
          <w:highlight w:val="none"/>
          <w:lang w:val="en-US" w:eastAsia="zh-CN"/>
        </w:rPr>
        <w:t>（2）项目立项基本情况</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rPr>
          <w:rFonts w:hint="eastAsia" w:ascii="仿宋_GB2312" w:eastAsia="仿宋_GB2312" w:cs="ArialUnicodeMS"/>
          <w:kern w:val="0"/>
          <w:sz w:val="32"/>
          <w:szCs w:val="32"/>
          <w:highlight w:val="none"/>
          <w:lang w:val="en-US" w:eastAsia="zh-CN"/>
        </w:rPr>
      </w:pPr>
      <w:r>
        <w:rPr>
          <w:rFonts w:hint="eastAsia" w:ascii="仿宋_GB2312" w:eastAsia="仿宋_GB2312" w:cs="ArialUnicodeMS"/>
          <w:kern w:val="0"/>
          <w:sz w:val="32"/>
          <w:szCs w:val="32"/>
          <w:highlight w:val="none"/>
          <w:lang w:val="en-US" w:eastAsia="zh-CN"/>
        </w:rPr>
        <w:t>农村土地承包经营权确权登记颁证档案是不动产统一登记证据性资料，完整收齐、整理规范农村土地确权档案是保障农户土地承包权完整的重要措施。</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2.项目主要实施内容和范围</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购买磁盘列阵等专业存储设备，满足电子档案存放容量需求；提供免费档案用品，聘请专业搬运人员搬运档案，保证档案的安全完整。</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3.项目资金投入情况</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2019年度下达农村土地确权档案接收经费10万元，全部经费由财政拨发。</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接收全区已完成的土地确权纸质档案及电子档案全部入馆。</w:t>
      </w:r>
    </w:p>
    <w:p>
      <w:pPr>
        <w:keepNext w:val="0"/>
        <w:keepLines w:val="0"/>
        <w:pageBreakBefore w:val="0"/>
        <w:widowControl w:val="0"/>
        <w:kinsoku/>
        <w:wordWrap/>
        <w:overflowPunct/>
        <w:topLinePunct w:val="0"/>
        <w:bidi w:val="0"/>
        <w:adjustRightInd w:val="0"/>
        <w:snapToGrid w:val="0"/>
        <w:spacing w:line="578" w:lineRule="exact"/>
        <w:ind w:left="0" w:leftChars="0" w:right="0" w:rightChars="0" w:firstLine="643" w:firstLineChars="200"/>
        <w:rPr>
          <w:rFonts w:hint="eastAsia" w:ascii="黑体" w:hAnsi="黑体" w:eastAsia="黑体" w:cs="黑体"/>
          <w:b w:val="0"/>
          <w:bCs w:val="0"/>
          <w:sz w:val="32"/>
          <w:szCs w:val="32"/>
          <w:lang w:eastAsia="zh-CN"/>
        </w:rPr>
      </w:pPr>
      <w:bookmarkStart w:id="0" w:name="_GoBack"/>
      <w:r>
        <w:rPr>
          <w:rFonts w:hint="eastAsia" w:ascii="黑体" w:hAnsi="黑体" w:eastAsia="黑体" w:cs="黑体"/>
          <w:b w:val="0"/>
          <w:bCs w:val="0"/>
          <w:sz w:val="32"/>
          <w:szCs w:val="32"/>
          <w:lang w:eastAsia="zh-CN"/>
        </w:rPr>
        <w:t>二、绩效评价工作情况</w:t>
      </w:r>
    </w:p>
    <w:bookmarkEnd w:id="0"/>
    <w:p>
      <w:pPr>
        <w:rPr>
          <w:rFonts w:ascii="楷体_GB2312" w:hAnsi="楷体_GB2312" w:eastAsia="楷体_GB2312" w:cs="楷体_GB2312"/>
          <w:sz w:val="32"/>
          <w:szCs w:val="32"/>
        </w:rPr>
      </w:pPr>
      <w:r>
        <w:rPr>
          <w:rFonts w:hint="eastAsia" w:ascii="仿宋_GB2312" w:eastAsia="仿宋_GB2312"/>
          <w:sz w:val="32"/>
          <w:szCs w:val="32"/>
          <w:lang w:val="en-US" w:eastAsia="zh-CN"/>
        </w:rPr>
        <w:t xml:space="preserve">   </w:t>
      </w:r>
      <w:r>
        <w:rPr>
          <w:rFonts w:hint="eastAsia" w:ascii="楷体_GB2312" w:hAnsi="楷体_GB2312" w:eastAsia="楷体_GB2312" w:cs="楷体_GB2312"/>
          <w:sz w:val="32"/>
          <w:szCs w:val="32"/>
        </w:rPr>
        <w:t>（一）绩效评价的组织工作和过程</w:t>
      </w:r>
    </w:p>
    <w:p>
      <w:pPr>
        <w:ind w:firstLine="640" w:firstLineChars="200"/>
        <w:rPr>
          <w:rFonts w:ascii="仿宋_GB2312" w:eastAsia="仿宋_GB2312"/>
          <w:sz w:val="32"/>
          <w:szCs w:val="32"/>
        </w:rPr>
      </w:pPr>
      <w:r>
        <w:rPr>
          <w:rFonts w:hint="eastAsia" w:ascii="仿宋_GB2312" w:eastAsia="仿宋_GB2312"/>
          <w:sz w:val="32"/>
          <w:szCs w:val="32"/>
        </w:rPr>
        <w:t>本次绩效评价自评价工作分为三个阶段：</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第一阶段：成立</w:t>
      </w:r>
      <w:r>
        <w:rPr>
          <w:rFonts w:hint="eastAsia" w:ascii="仿宋_GB2312" w:eastAsia="仿宋_GB2312"/>
          <w:sz w:val="32"/>
          <w:szCs w:val="32"/>
          <w:lang w:val="en-US" w:eastAsia="zh-CN"/>
        </w:rPr>
        <w:t>项目绩效</w:t>
      </w:r>
      <w:r>
        <w:rPr>
          <w:rFonts w:hint="eastAsia" w:ascii="仿宋_GB2312" w:eastAsia="仿宋_GB2312"/>
          <w:sz w:val="32"/>
          <w:szCs w:val="32"/>
        </w:rPr>
        <w:t>评价工作小组，制定项目绩效评价具体实施方案。</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第二阶段：按照区财政局要求，进行自查。</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第三阶段：由评价工作小组对项目总结评价结论，最终形成自评价报告，报区财政局。</w:t>
      </w:r>
    </w:p>
    <w:p>
      <w:pPr>
        <w:rPr>
          <w:rFonts w:ascii="楷体_GB2312" w:hAnsi="楷体_GB2312" w:eastAsia="楷体_GB2312" w:cs="楷体_GB2312"/>
          <w:sz w:val="32"/>
          <w:szCs w:val="32"/>
        </w:rPr>
      </w:pPr>
      <w:r>
        <w:rPr>
          <w:rFonts w:ascii="仿宋_GB2312" w:eastAsia="仿宋_GB2312"/>
          <w:b/>
          <w:bCs/>
          <w:sz w:val="32"/>
          <w:szCs w:val="32"/>
        </w:rPr>
        <w:t xml:space="preserve">   </w:t>
      </w:r>
      <w:r>
        <w:rPr>
          <w:rFonts w:hint="eastAsia" w:ascii="楷体_GB2312" w:hAnsi="楷体_GB2312" w:eastAsia="楷体_GB2312" w:cs="楷体_GB2312"/>
          <w:sz w:val="32"/>
          <w:szCs w:val="32"/>
        </w:rPr>
        <w:t>（二）绩效评价的方法</w:t>
      </w:r>
    </w:p>
    <w:p>
      <w:pPr>
        <w:spacing w:line="600" w:lineRule="exact"/>
        <w:ind w:firstLine="640" w:firstLineChars="200"/>
      </w:pPr>
      <w:r>
        <w:rPr>
          <w:rFonts w:hint="eastAsia" w:ascii="仿宋_GB2312" w:eastAsia="仿宋_GB2312"/>
          <w:sz w:val="32"/>
          <w:szCs w:val="32"/>
        </w:rPr>
        <w:t>绩效评价工作采用单位自评价的方式开展。自评价采取数据收集汇总、指标分析、询问查证等方法，形成了自评价报告。</w:t>
      </w:r>
    </w:p>
    <w:p>
      <w:pPr>
        <w:rPr>
          <w:rFonts w:ascii="黑体" w:hAnsi="黑体" w:eastAsia="黑体" w:cs="黑体"/>
          <w:b/>
          <w:bCs/>
          <w:sz w:val="32"/>
          <w:szCs w:val="32"/>
        </w:rPr>
      </w:pPr>
      <w:r>
        <w:rPr>
          <w:rFonts w:ascii="仿宋_GB2312" w:eastAsia="仿宋_GB2312"/>
          <w:b/>
          <w:bCs/>
          <w:sz w:val="32"/>
          <w:szCs w:val="32"/>
        </w:rPr>
        <w:t xml:space="preserve">    </w:t>
      </w:r>
      <w:r>
        <w:rPr>
          <w:rFonts w:hint="eastAsia" w:ascii="黑体" w:hAnsi="黑体" w:eastAsia="黑体" w:cs="黑体"/>
          <w:sz w:val="32"/>
          <w:szCs w:val="32"/>
        </w:rPr>
        <w:t>三、项目执行及绩效实现情况</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项目评价指标体系总分实行百分制，</w:t>
      </w:r>
      <w:r>
        <w:rPr>
          <w:rFonts w:ascii="仿宋_GB2312" w:eastAsia="仿宋_GB2312"/>
          <w:sz w:val="32"/>
          <w:szCs w:val="32"/>
        </w:rPr>
        <w:t>90</w:t>
      </w:r>
      <w:r>
        <w:rPr>
          <w:rFonts w:hint="eastAsia" w:ascii="仿宋_GB2312" w:eastAsia="仿宋_GB2312"/>
          <w:sz w:val="32"/>
          <w:szCs w:val="32"/>
        </w:rPr>
        <w:t>分以上为优秀、</w:t>
      </w:r>
      <w:r>
        <w:rPr>
          <w:rFonts w:ascii="仿宋_GB2312" w:eastAsia="仿宋_GB2312"/>
          <w:sz w:val="32"/>
          <w:szCs w:val="32"/>
        </w:rPr>
        <w:t>80</w:t>
      </w:r>
      <w:r>
        <w:rPr>
          <w:rFonts w:hint="eastAsia" w:ascii="仿宋_GB2312" w:eastAsia="仿宋_GB2312"/>
          <w:sz w:val="32"/>
          <w:szCs w:val="32"/>
        </w:rPr>
        <w:t>分以上为良好、</w:t>
      </w:r>
      <w:r>
        <w:rPr>
          <w:rFonts w:ascii="仿宋_GB2312" w:eastAsia="仿宋_GB2312"/>
          <w:sz w:val="32"/>
          <w:szCs w:val="32"/>
        </w:rPr>
        <w:t>70</w:t>
      </w:r>
      <w:r>
        <w:rPr>
          <w:rFonts w:hint="eastAsia" w:ascii="仿宋_GB2312" w:eastAsia="仿宋_GB2312"/>
          <w:sz w:val="32"/>
          <w:szCs w:val="32"/>
        </w:rPr>
        <w:t>分以上为一般、</w:t>
      </w:r>
      <w:r>
        <w:rPr>
          <w:rFonts w:ascii="仿宋_GB2312" w:eastAsia="仿宋_GB2312"/>
          <w:sz w:val="32"/>
          <w:szCs w:val="32"/>
        </w:rPr>
        <w:t>60</w:t>
      </w:r>
      <w:r>
        <w:rPr>
          <w:rFonts w:hint="eastAsia" w:ascii="仿宋_GB2312" w:eastAsia="仿宋_GB2312"/>
          <w:sz w:val="32"/>
          <w:szCs w:val="32"/>
        </w:rPr>
        <w:t>分以上为及格。</w:t>
      </w:r>
    </w:p>
    <w:p>
      <w:pPr>
        <w:spacing w:line="600" w:lineRule="exact"/>
        <w:ind w:firstLine="640" w:firstLineChars="200"/>
        <w:rPr>
          <w:rFonts w:ascii="仿宋_GB2312" w:eastAsia="仿宋_GB2312"/>
          <w:sz w:val="32"/>
          <w:szCs w:val="32"/>
        </w:rPr>
      </w:pPr>
      <w:r>
        <w:rPr>
          <w:rFonts w:ascii="仿宋_GB2312" w:eastAsia="仿宋_GB2312"/>
          <w:sz w:val="32"/>
          <w:szCs w:val="32"/>
        </w:rPr>
        <w:t>1</w:t>
      </w:r>
      <w:r>
        <w:rPr>
          <w:rFonts w:hint="eastAsia" w:ascii="仿宋_GB2312" w:eastAsia="仿宋_GB2312"/>
          <w:sz w:val="32"/>
          <w:szCs w:val="32"/>
        </w:rPr>
        <w:t>、产出指标（</w:t>
      </w:r>
      <w:r>
        <w:rPr>
          <w:rFonts w:ascii="仿宋_GB2312" w:eastAsia="仿宋_GB2312"/>
          <w:sz w:val="32"/>
          <w:szCs w:val="32"/>
        </w:rPr>
        <w:t>50</w:t>
      </w:r>
      <w:r>
        <w:rPr>
          <w:rFonts w:hint="eastAsia" w:ascii="仿宋_GB2312" w:eastAsia="仿宋_GB2312"/>
          <w:sz w:val="32"/>
          <w:szCs w:val="32"/>
        </w:rPr>
        <w:t>分）。经评估，</w:t>
      </w:r>
      <w:r>
        <w:rPr>
          <w:rFonts w:ascii="仿宋_GB2312" w:eastAsia="仿宋_GB2312"/>
          <w:sz w:val="32"/>
          <w:szCs w:val="32"/>
        </w:rPr>
        <w:t>2019</w:t>
      </w:r>
      <w:r>
        <w:rPr>
          <w:rFonts w:hint="eastAsia" w:ascii="仿宋_GB2312" w:eastAsia="仿宋_GB2312"/>
          <w:sz w:val="32"/>
          <w:szCs w:val="32"/>
        </w:rPr>
        <w:t>年</w:t>
      </w:r>
      <w:r>
        <w:rPr>
          <w:rFonts w:hint="eastAsia" w:ascii="仿宋_GB2312" w:eastAsia="仿宋_GB2312"/>
          <w:sz w:val="32"/>
          <w:szCs w:val="32"/>
          <w:lang w:val="en-US" w:eastAsia="zh-CN"/>
        </w:rPr>
        <w:t>部分涉及农村土地确权档案的电子版及纸质版已按照计划进行移交入馆，接收整理完毕</w:t>
      </w:r>
      <w:r>
        <w:rPr>
          <w:rFonts w:hint="eastAsia" w:ascii="仿宋_GB2312" w:eastAsia="仿宋_GB2312"/>
          <w:sz w:val="32"/>
          <w:szCs w:val="32"/>
        </w:rPr>
        <w:t>，</w:t>
      </w:r>
      <w:r>
        <w:rPr>
          <w:rFonts w:hint="eastAsia" w:ascii="仿宋_GB2312" w:eastAsia="仿宋_GB2312"/>
          <w:sz w:val="32"/>
          <w:szCs w:val="32"/>
          <w:lang w:val="en-US" w:eastAsia="zh-CN"/>
        </w:rPr>
        <w:t>由于资金限制，仍有部分档案尚未入馆</w:t>
      </w:r>
      <w:r>
        <w:rPr>
          <w:rFonts w:hint="eastAsia" w:ascii="仿宋_GB2312" w:eastAsia="仿宋_GB2312"/>
          <w:sz w:val="32"/>
          <w:szCs w:val="32"/>
        </w:rPr>
        <w:t>，评估为</w:t>
      </w:r>
      <w:r>
        <w:rPr>
          <w:rFonts w:hint="eastAsia" w:ascii="仿宋_GB2312" w:eastAsia="仿宋_GB2312"/>
          <w:sz w:val="32"/>
          <w:szCs w:val="32"/>
          <w:lang w:val="en-US" w:eastAsia="zh-CN"/>
        </w:rPr>
        <w:t>40</w:t>
      </w:r>
      <w:r>
        <w:rPr>
          <w:rFonts w:hint="eastAsia" w:ascii="仿宋_GB2312" w:eastAsia="仿宋_GB2312"/>
          <w:sz w:val="32"/>
          <w:szCs w:val="32"/>
        </w:rPr>
        <w:t>分。</w:t>
      </w:r>
    </w:p>
    <w:p>
      <w:pPr>
        <w:spacing w:line="600" w:lineRule="exact"/>
        <w:ind w:firstLine="640" w:firstLineChars="200"/>
        <w:rPr>
          <w:rFonts w:ascii="仿宋_GB2312" w:eastAsia="仿宋_GB2312"/>
          <w:sz w:val="32"/>
          <w:szCs w:val="32"/>
        </w:rPr>
      </w:pPr>
      <w:r>
        <w:rPr>
          <w:rFonts w:ascii="仿宋_GB2312" w:eastAsia="仿宋_GB2312"/>
          <w:sz w:val="32"/>
          <w:szCs w:val="32"/>
        </w:rPr>
        <w:t>2</w:t>
      </w:r>
      <w:r>
        <w:rPr>
          <w:rFonts w:hint="eastAsia" w:ascii="仿宋_GB2312" w:eastAsia="仿宋_GB2312"/>
          <w:sz w:val="32"/>
          <w:szCs w:val="32"/>
        </w:rPr>
        <w:t>、效益指标（</w:t>
      </w:r>
      <w:r>
        <w:rPr>
          <w:rFonts w:ascii="仿宋_GB2312" w:eastAsia="仿宋_GB2312"/>
          <w:sz w:val="32"/>
          <w:szCs w:val="32"/>
        </w:rPr>
        <w:t>40</w:t>
      </w:r>
      <w:r>
        <w:rPr>
          <w:rFonts w:hint="eastAsia" w:ascii="仿宋_GB2312" w:eastAsia="仿宋_GB2312"/>
          <w:sz w:val="32"/>
          <w:szCs w:val="32"/>
        </w:rPr>
        <w:t>分）。经评估，</w:t>
      </w:r>
      <w:r>
        <w:rPr>
          <w:rFonts w:hint="eastAsia" w:ascii="仿宋_GB2312" w:eastAsia="仿宋_GB2312"/>
          <w:sz w:val="32"/>
          <w:szCs w:val="32"/>
          <w:lang w:val="en-US" w:eastAsia="zh-CN"/>
        </w:rPr>
        <w:t>档案设施设备能够正常运行，按时将档案电子版及纸质版归档</w:t>
      </w:r>
      <w:r>
        <w:rPr>
          <w:rFonts w:hint="eastAsia" w:ascii="仿宋_GB2312" w:eastAsia="仿宋_GB2312"/>
          <w:sz w:val="32"/>
          <w:szCs w:val="32"/>
        </w:rPr>
        <w:t>，评估为满分。</w:t>
      </w:r>
    </w:p>
    <w:p>
      <w:pPr>
        <w:spacing w:line="600" w:lineRule="exact"/>
        <w:ind w:firstLine="640" w:firstLineChars="200"/>
        <w:rPr>
          <w:rFonts w:ascii="仿宋_GB2312" w:eastAsia="仿宋_GB2312"/>
          <w:sz w:val="32"/>
          <w:szCs w:val="32"/>
        </w:rPr>
      </w:pPr>
      <w:r>
        <w:rPr>
          <w:rFonts w:ascii="仿宋_GB2312" w:eastAsia="仿宋_GB2312"/>
          <w:sz w:val="32"/>
          <w:szCs w:val="32"/>
        </w:rPr>
        <w:t>3</w:t>
      </w:r>
      <w:r>
        <w:rPr>
          <w:rFonts w:hint="eastAsia" w:ascii="仿宋_GB2312" w:eastAsia="仿宋_GB2312"/>
          <w:sz w:val="32"/>
          <w:szCs w:val="32"/>
        </w:rPr>
        <w:t>、满意度指标（</w:t>
      </w:r>
      <w:r>
        <w:rPr>
          <w:rFonts w:ascii="仿宋_GB2312" w:eastAsia="仿宋_GB2312"/>
          <w:sz w:val="32"/>
          <w:szCs w:val="32"/>
        </w:rPr>
        <w:t>10</w:t>
      </w:r>
      <w:r>
        <w:rPr>
          <w:rFonts w:hint="eastAsia" w:ascii="仿宋_GB2312" w:eastAsia="仿宋_GB2312"/>
          <w:sz w:val="32"/>
          <w:szCs w:val="32"/>
        </w:rPr>
        <w:t>分）。经评估，群众满意度高，评估为满分。</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2019年度</w:t>
      </w:r>
      <w:r>
        <w:rPr>
          <w:rFonts w:hint="eastAsia" w:ascii="仿宋_GB2312" w:eastAsia="仿宋_GB2312"/>
          <w:sz w:val="32"/>
          <w:szCs w:val="32"/>
          <w:lang w:val="en-US" w:eastAsia="zh-CN"/>
        </w:rPr>
        <w:t>农村土地确权</w:t>
      </w:r>
      <w:r>
        <w:rPr>
          <w:rFonts w:hint="eastAsia" w:ascii="仿宋_GB2312" w:eastAsia="仿宋_GB2312"/>
          <w:sz w:val="32"/>
          <w:szCs w:val="32"/>
        </w:rPr>
        <w:t>费</w:t>
      </w:r>
      <w:r>
        <w:rPr>
          <w:rFonts w:hint="eastAsia" w:ascii="仿宋_GB2312" w:eastAsia="仿宋_GB2312"/>
          <w:sz w:val="32"/>
          <w:szCs w:val="32"/>
          <w:lang w:val="en-US" w:eastAsia="zh-CN"/>
        </w:rPr>
        <w:t>用</w:t>
      </w:r>
      <w:r>
        <w:rPr>
          <w:rFonts w:hint="eastAsia" w:ascii="仿宋_GB2312" w:eastAsia="仿宋_GB2312"/>
          <w:sz w:val="32"/>
          <w:szCs w:val="32"/>
        </w:rPr>
        <w:t>投入合理</w:t>
      </w:r>
      <w:r>
        <w:rPr>
          <w:rFonts w:hint="eastAsia" w:ascii="仿宋_GB2312" w:eastAsia="仿宋_GB2312"/>
          <w:sz w:val="32"/>
          <w:szCs w:val="32"/>
          <w:lang w:eastAsia="zh-CN"/>
        </w:rPr>
        <w:t>，</w:t>
      </w:r>
      <w:r>
        <w:rPr>
          <w:rFonts w:hint="eastAsia" w:ascii="仿宋_GB2312" w:eastAsia="仿宋_GB2312"/>
          <w:sz w:val="32"/>
          <w:szCs w:val="32"/>
        </w:rPr>
        <w:t>资金拨付程序从申请、审核、审查、审批到最后发放都按照中央、省、市相关财政政策实施，使用符合财务管理规定。</w:t>
      </w:r>
      <w:r>
        <w:rPr>
          <w:rFonts w:hint="eastAsia" w:ascii="仿宋_GB2312" w:eastAsia="仿宋_GB2312"/>
          <w:sz w:val="32"/>
          <w:szCs w:val="32"/>
          <w:lang w:val="en-US" w:eastAsia="zh-CN"/>
        </w:rPr>
        <w:t>我馆始终</w:t>
      </w:r>
      <w:r>
        <w:rPr>
          <w:rFonts w:hint="eastAsia" w:ascii="仿宋_GB2312" w:eastAsia="仿宋_GB2312"/>
          <w:sz w:val="32"/>
          <w:szCs w:val="32"/>
        </w:rPr>
        <w:t>严格资金使用程序，定期对资金使用情况进行检查，严格确保项目质量。从总体上看，</w:t>
      </w:r>
      <w:r>
        <w:rPr>
          <w:rFonts w:hint="eastAsia" w:ascii="仿宋_GB2312" w:eastAsia="仿宋_GB2312"/>
          <w:sz w:val="32"/>
          <w:szCs w:val="32"/>
          <w:lang w:val="en-US" w:eastAsia="zh-CN"/>
        </w:rPr>
        <w:t>该</w:t>
      </w:r>
      <w:r>
        <w:rPr>
          <w:rFonts w:hint="eastAsia" w:ascii="仿宋_GB2312" w:eastAsia="仿宋_GB2312"/>
          <w:sz w:val="32"/>
          <w:szCs w:val="32"/>
        </w:rPr>
        <w:t>专项资金绩效评价总体得分为</w:t>
      </w:r>
      <w:r>
        <w:rPr>
          <w:rFonts w:hint="eastAsia" w:ascii="仿宋_GB2312" w:eastAsia="仿宋_GB2312"/>
          <w:sz w:val="32"/>
          <w:szCs w:val="32"/>
          <w:lang w:val="en-US" w:eastAsia="zh-CN"/>
        </w:rPr>
        <w:t>90</w:t>
      </w:r>
      <w:r>
        <w:rPr>
          <w:rFonts w:hint="eastAsia" w:ascii="仿宋_GB2312" w:eastAsia="仿宋_GB2312"/>
          <w:sz w:val="32"/>
          <w:szCs w:val="32"/>
        </w:rPr>
        <w:t>分，为优秀等次。</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78" w:lineRule="exact"/>
        <w:ind w:left="0" w:leftChars="0" w:right="0" w:rightChars="0"/>
        <w:jc w:val="both"/>
        <w:textAlignment w:val="auto"/>
        <w:outlineLvl w:val="9"/>
      </w:pPr>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6FF" w:usb1="420024FF" w:usb2="02000000" w:usb3="00000000" w:csb0="2000019F" w:csb1="00000000"/>
  </w:font>
  <w:font w:name="Calibri">
    <w:panose1 w:val="020F0502020204030204"/>
    <w:charset w:val="00"/>
    <w:family w:val="decorative"/>
    <w:pitch w:val="default"/>
    <w:sig w:usb0="E4002EFF" w:usb1="C000247B" w:usb2="00000009" w:usb3="00000000" w:csb0="200001FF" w:csb1="00000000"/>
  </w:font>
  <w:font w:name="Arial">
    <w:panose1 w:val="020B0604020202020204"/>
    <w:charset w:val="01"/>
    <w:family w:val="decorative"/>
    <w:pitch w:val="default"/>
    <w:sig w:usb0="E0002EFF" w:usb1="C000785B" w:usb2="00000009" w:usb3="00000000" w:csb0="400001FF" w:csb1="FFFF0000"/>
  </w:font>
  <w:font w:name="Courier New">
    <w:panose1 w:val="02070309020205020404"/>
    <w:charset w:val="01"/>
    <w:family w:val="swiss"/>
    <w:pitch w:val="default"/>
    <w:sig w:usb0="E0002E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6FF" w:usb1="420024FF" w:usb2="02000000" w:usb3="00000000" w:csb0="2000019F" w:csb1="00000000"/>
  </w:font>
  <w:font w:name="Calibri">
    <w:panose1 w:val="020F0502020204030204"/>
    <w:charset w:val="00"/>
    <w:family w:val="roman"/>
    <w:pitch w:val="default"/>
    <w:sig w:usb0="E4002EFF" w:usb1="C000247B" w:usb2="00000009" w:usb3="00000000" w:csb0="200001FF" w:csb1="00000000"/>
  </w:font>
  <w:font w:name="Arial">
    <w:panose1 w:val="020B0604020202020204"/>
    <w:charset w:val="01"/>
    <w:family w:val="roman"/>
    <w:pitch w:val="default"/>
    <w:sig w:usb0="E0002EFF" w:usb1="C000785B" w:usb2="00000009" w:usb3="00000000" w:csb0="400001FF" w:csb1="FFFF0000"/>
  </w:font>
  <w:font w:name="Courier New">
    <w:panose1 w:val="02070309020205020404"/>
    <w:charset w:val="01"/>
    <w:family w:val="decorative"/>
    <w:pitch w:val="default"/>
    <w:sig w:usb0="E0002E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6FF" w:usb1="420024FF" w:usb2="02000000" w:usb3="00000000" w:csb0="2000019F" w:csb1="00000000"/>
  </w:font>
  <w:font w:name="Calibri">
    <w:panose1 w:val="020F0502020204030204"/>
    <w:charset w:val="00"/>
    <w:family w:val="modern"/>
    <w:pitch w:val="default"/>
    <w:sig w:usb0="E4002EFF" w:usb1="C000247B" w:usb2="00000009" w:usb3="00000000" w:csb0="200001FF" w:csb1="00000000"/>
  </w:font>
  <w:font w:name="Arial">
    <w:panose1 w:val="020B0604020202020204"/>
    <w:charset w:val="01"/>
    <w:family w:val="modern"/>
    <w:pitch w:val="default"/>
    <w:sig w:usb0="E0002EFF" w:usb1="C000785B" w:usb2="00000009" w:usb3="00000000" w:csb0="400001FF" w:csb1="FFFF0000"/>
  </w:font>
  <w:font w:name="Courier New">
    <w:panose1 w:val="02070309020205020404"/>
    <w:charset w:val="01"/>
    <w:family w:val="roman"/>
    <w:pitch w:val="default"/>
    <w:sig w:usb0="E0002E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
    <w:panose1 w:val="02010609060101010101"/>
    <w:charset w:val="86"/>
    <w:family w:val="roman"/>
    <w:pitch w:val="default"/>
    <w:sig w:usb0="800002BF" w:usb1="38CF7CFA" w:usb2="00000016" w:usb3="00000000" w:csb0="00040001" w:csb1="00000000"/>
  </w:font>
  <w:font w:name="楷体_GB2312">
    <w:panose1 w:val="02010609030101010101"/>
    <w:charset w:val="86"/>
    <w:family w:val="roman"/>
    <w:pitch w:val="default"/>
    <w:sig w:usb0="00000001" w:usb1="080E0000" w:usb2="00000000" w:usb3="00000000" w:csb0="00040000" w:csb1="00000000"/>
  </w:font>
  <w:font w:name="仿宋_GB2312">
    <w:panose1 w:val="02010609030101010101"/>
    <w:charset w:val="86"/>
    <w:family w:val="roma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modern"/>
    <w:pitch w:val="default"/>
    <w:sig w:usb0="800002BF" w:usb1="38CF7CFA" w:usb2="00000016" w:usb3="00000000" w:csb0="00040001" w:csb1="00000000"/>
  </w:font>
  <w:font w:name="Gulim">
    <w:altName w:val="Malgun Gothic"/>
    <w:panose1 w:val="020B0600000101010101"/>
    <w:charset w:val="81"/>
    <w:family w:val="auto"/>
    <w:pitch w:val="default"/>
    <w:sig w:usb0="00000000" w:usb1="00000000" w:usb2="00000000" w:usb3="00000000" w:csb0="00000000" w:csb1="00000000"/>
  </w:font>
  <w:font w:name="Malgun Gothic">
    <w:panose1 w:val="020B0503020000020004"/>
    <w:charset w:val="81"/>
    <w:family w:val="auto"/>
    <w:pitch w:val="default"/>
    <w:sig w:usb0="9000002F" w:usb1="29D77CFB" w:usb2="00000012" w:usb3="00000000" w:csb0="00080001" w:csb1="00000000"/>
  </w:font>
  <w:font w:name="仿宋_GB2312">
    <w:panose1 w:val="02010609030101010101"/>
    <w:charset w:val="86"/>
    <w:family w:val="swiss"/>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swiss"/>
    <w:pitch w:val="default"/>
    <w:sig w:usb0="800002BF" w:usb1="38CF7CFA" w:usb2="00000016" w:usb3="00000000" w:csb0="00040001" w:csb1="00000000"/>
  </w:font>
  <w:font w:name="仿宋_GB2312">
    <w:panose1 w:val="02010609030101010101"/>
    <w:charset w:val="86"/>
    <w:family w:val="decorative"/>
    <w:pitch w:val="default"/>
    <w:sig w:usb0="00000001" w:usb1="080E0000" w:usb2="00000000" w:usb3="00000000" w:csb0="00040000" w:csb1="00000000"/>
  </w:font>
  <w:font w:name="楷体">
    <w:panose1 w:val="02010609060101010101"/>
    <w:charset w:val="86"/>
    <w:family w:val="swiss"/>
    <w:pitch w:val="default"/>
    <w:sig w:usb0="800002BF" w:usb1="38CF7CFA" w:usb2="00000016" w:usb3="00000000" w:csb0="00040001" w:csb1="00000000"/>
  </w:font>
  <w:font w:name="楷体_GB2312">
    <w:panose1 w:val="02010609030101010101"/>
    <w:charset w:val="86"/>
    <w:family w:val="swiss"/>
    <w:pitch w:val="default"/>
    <w:sig w:usb0="00000001" w:usb1="080E0000" w:usb2="00000000" w:usb3="00000000" w:csb0="00040000" w:csb1="00000000"/>
  </w:font>
  <w:font w:name="仿宋">
    <w:panose1 w:val="02010609060101010101"/>
    <w:charset w:val="86"/>
    <w:family w:val="decorative"/>
    <w:pitch w:val="default"/>
    <w:sig w:usb0="800002BF" w:usb1="38CF7CFA" w:usb2="00000016" w:usb3="00000000" w:csb0="00040001" w:csb1="00000000"/>
  </w:font>
  <w:font w:name="楷体">
    <w:panose1 w:val="02010609060101010101"/>
    <w:charset w:val="86"/>
    <w:family w:val="decorative"/>
    <w:pitch w:val="default"/>
    <w:sig w:usb0="800002BF" w:usb1="38CF7CFA" w:usb2="00000016" w:usb3="00000000" w:csb0="00040001" w:csb1="00000000"/>
  </w:font>
  <w:font w:name="楷体_GB2312">
    <w:panose1 w:val="02010609030101010101"/>
    <w:charset w:val="86"/>
    <w:family w:val="decorative"/>
    <w:pitch w:val="default"/>
    <w:sig w:usb0="00000001" w:usb1="080E0000" w:usb2="00000000" w:usb3="00000000" w:csb0="00040000" w:csb1="00000000"/>
  </w:font>
  <w:font w:name="仿宋">
    <w:panose1 w:val="02010609060101010101"/>
    <w:charset w:val="86"/>
    <w:family w:val="roma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黑体">
    <w:panose1 w:val="02010600030101010101"/>
    <w:charset w:val="86"/>
    <w:family w:val="modern"/>
    <w:pitch w:val="default"/>
    <w:sig w:usb0="800002BF" w:usb1="38CF7CFA" w:usb2="00000016" w:usb3="00000000" w:csb0="00040001" w:csb1="00000000"/>
  </w:font>
  <w:font w:name="黑体">
    <w:panose1 w:val="02010600030101010101"/>
    <w:charset w:val="86"/>
    <w:family w:val="swiss"/>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 w:name="黑体">
    <w:panose1 w:val="02010600030101010101"/>
    <w:charset w:val="86"/>
    <w:family w:val="roman"/>
    <w:pitch w:val="default"/>
    <w:sig w:usb0="800002BF" w:usb1="38CF7CFA" w:usb2="00000016" w:usb3="00000000" w:csb0="00040001" w:csb1="00000000"/>
  </w:font>
  <w:font w:name="黑体">
    <w:panose1 w:val="02010600030101010101"/>
    <w:charset w:val="86"/>
    <w:family w:val="decorative"/>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21275E26"/>
    <w:rsid w:val="2A2941B7"/>
    <w:rsid w:val="3981604A"/>
    <w:rsid w:val="3AB253F3"/>
    <w:rsid w:val="3B053CD7"/>
    <w:rsid w:val="3E861B53"/>
    <w:rsid w:val="44D80C78"/>
    <w:rsid w:val="4A3772D8"/>
    <w:rsid w:val="50E42C57"/>
    <w:rsid w:val="5A2010BF"/>
    <w:rsid w:val="625C64FA"/>
    <w:rsid w:val="66906486"/>
    <w:rsid w:val="6EC9708E"/>
    <w:rsid w:val="70FA6EA7"/>
    <w:rsid w:val="79D92E7B"/>
    <w:rsid w:val="7EE5713D"/>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link w:val="5"/>
    <w:semiHidden/>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5">
    <w:name w:val="默认段落字体 Para Char Char Char Char Char Char Char"/>
    <w:basedOn w:val="1"/>
    <w:link w:val="4"/>
    <w:qFormat/>
    <w:uiPriority w:val="0"/>
  </w:style>
  <w:style w:type="character" w:styleId="6">
    <w:name w:val="page number"/>
    <w:basedOn w:val="4"/>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Lenovo</cp:lastModifiedBy>
  <dcterms:modified xsi:type="dcterms:W3CDTF">2020-01-06T01:42:05Z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