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黑体" w:hAnsi="黑体" w:eastAsia="黑体" w:cs="黑体"/>
          <w:b/>
          <w:bCs/>
          <w:sz w:val="32"/>
          <w:szCs w:val="32"/>
          <w:lang w:eastAsia="zh-CN"/>
        </w:rPr>
        <w:t>党外知识分子及民主党派工作经费</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w:t>
      </w:r>
      <w:r>
        <w:rPr>
          <w:rFonts w:hint="eastAsia" w:ascii="仿宋_GB2312" w:hAnsi="仿宋_GB2312" w:eastAsia="仿宋_GB2312" w:cs="仿宋_GB2312"/>
          <w:b w:val="0"/>
          <w:bCs w:val="0"/>
          <w:sz w:val="32"/>
          <w:szCs w:val="32"/>
          <w:lang w:val="en-US" w:eastAsia="zh-CN"/>
        </w:rPr>
        <w:t>9]65号）</w:t>
      </w:r>
      <w:r>
        <w:rPr>
          <w:rFonts w:hint="eastAsia" w:ascii="仿宋_GB2312" w:hAnsi="仿宋_GB2312" w:eastAsia="仿宋_GB2312" w:cs="仿宋_GB2312"/>
          <w:b w:val="0"/>
          <w:bCs w:val="0"/>
          <w:sz w:val="32"/>
          <w:szCs w:val="32"/>
        </w:rPr>
        <w:t>，遵循“科学性、规范性、客观性和公正性”的原则，对</w:t>
      </w:r>
      <w:r>
        <w:rPr>
          <w:rFonts w:hint="eastAsia" w:ascii="仿宋_GB2312" w:hAnsi="仿宋_GB2312" w:eastAsia="仿宋_GB2312" w:cs="仿宋_GB2312"/>
          <w:b w:val="0"/>
          <w:bCs w:val="0"/>
          <w:sz w:val="32"/>
          <w:szCs w:val="32"/>
          <w:lang w:eastAsia="zh-CN"/>
        </w:rPr>
        <w:t>党外知识分子及民主党派工作经费项目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本项目实施单位为鹿泉区委统战部，涉及全区党外知识分子和民主党派工作开展。该项目经过集体研究决策，具有可行性。</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发现和培养党外代表人士、无党派代表人士，支持和帮助无党派人士加强自身建设、发挥作用；负责党外人士的政治安排，会同有关部门做好安排党外人士担任政府和司法机关等领导职务的工作。负责联系各民主党派，通报情况、反映意见，贯彻落实党的多党合作和政治协商制度以及对民主党派的方针政策，支持和帮助民主党派加强自身建设，做好支持民主党派履行职责、发挥作用的工作。调查研究党外知识分子和新的社会阶层代表人士情况并提出政策建议，联系、培养党外知识分子和新的社会阶层代表人士，开展思想政治工作。</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项目总投资3万元，全部由鹿泉区财政出资。</w:t>
      </w:r>
    </w:p>
    <w:p>
      <w:pPr>
        <w:numPr>
          <w:ilvl w:val="0"/>
          <w:numId w:val="2"/>
        </w:numPr>
        <w:adjustRightInd w:val="0"/>
        <w:snapToGrid w:val="0"/>
        <w:spacing w:line="360" w:lineRule="auto"/>
        <w:ind w:left="800" w:leftChars="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ind w:firstLine="640" w:firstLineChars="200"/>
        <w:rPr>
          <w:rFonts w:hint="eastAsia" w:ascii="楷体_GB2312" w:hAnsi="楷体_GB2312" w:eastAsia="楷体_GB2312" w:cs="楷体_GB2312"/>
          <w:b w:val="0"/>
          <w:bCs w:val="0"/>
          <w:sz w:val="32"/>
          <w:szCs w:val="32"/>
          <w:lang w:eastAsia="zh-CN"/>
        </w:rPr>
      </w:pPr>
      <w:r>
        <w:rPr>
          <w:rFonts w:hint="eastAsia" w:ascii="仿宋_GB2312" w:eastAsia="仿宋_GB2312"/>
          <w:sz w:val="32"/>
          <w:szCs w:val="32"/>
          <w:lang w:val="en-US" w:eastAsia="zh-CN"/>
        </w:rPr>
        <w:t>绩效总目标：发现和培养党外代表人士、无党派代表人士，支持和帮助无党派人士加强自身建设、发挥作用；会同有关部门做好安排党外人士担任政府和司法机关等领导职务的工作。联系各民主党派，通报情况、反映意见，贯彻落实党的多党合作和政治协商制度以及对民主党派的方针政策，支持和帮助民主党派加强自身建设，做好支持民主党派履行职责、发挥作用的工作。调查研究党外知识分子和新的社会阶层代表人士情况并提出政策建议，联系、培养党外知识分子和新的社会阶层代表人士。</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根据省市区</w:t>
      </w:r>
      <w:r>
        <w:rPr>
          <w:rFonts w:hint="eastAsia" w:ascii="仿宋_GB2312" w:eastAsia="仿宋_GB2312"/>
          <w:sz w:val="32"/>
          <w:szCs w:val="32"/>
          <w:lang w:val="en-US" w:eastAsia="zh-CN"/>
        </w:rPr>
        <w:t>2019年统战工作计划组织开展。</w:t>
      </w:r>
    </w:p>
    <w:p>
      <w:pPr>
        <w:numPr>
          <w:numId w:val="0"/>
        </w:numPr>
        <w:ind w:left="800"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（二）绩效评价的方法和过程</w:t>
      </w:r>
    </w:p>
    <w:p>
      <w:pPr>
        <w:numPr>
          <w:numId w:val="0"/>
        </w:numPr>
        <w:ind w:left="800" w:leftChars="0" w:right="0" w:right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根据省市区2019年统战工作计划要求进行。</w:t>
      </w:r>
    </w:p>
    <w:p>
      <w:pPr>
        <w:numPr>
          <w:numId w:val="0"/>
        </w:numPr>
        <w:ind w:left="800"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numPr>
          <w:numId w:val="0"/>
        </w:numPr>
        <w:ind w:left="800" w:leftChars="0"/>
        <w:rPr>
          <w:rFonts w:hint="eastAsia" w:ascii="仿宋" w:hAnsi="仿宋" w:eastAsia="仿宋"/>
          <w:sz w:val="32"/>
          <w:szCs w:val="32"/>
        </w:rPr>
      </w:pPr>
      <w:r>
        <w:rPr>
          <w:rFonts w:hint="eastAsia" w:ascii="仿宋" w:hAnsi="仿宋" w:eastAsia="仿宋"/>
          <w:sz w:val="32"/>
          <w:szCs w:val="32"/>
        </w:rPr>
        <w:t>总绩效目标：</w:t>
      </w:r>
    </w:p>
    <w:p>
      <w:p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color w:val="000000"/>
          <w:sz w:val="32"/>
          <w:szCs w:val="32"/>
          <w:lang w:eastAsia="zh-CN"/>
        </w:rPr>
        <w:t>支持各党派组织开展“不忘合作初心、继续携手前进”主题教育活动和社会实践活动；</w:t>
      </w:r>
      <w:r>
        <w:rPr>
          <w:rFonts w:hint="eastAsia" w:ascii="仿宋_GB2312" w:hAnsi="仿宋_GB2312" w:eastAsia="仿宋_GB2312" w:cs="仿宋_GB2312"/>
          <w:b w:val="0"/>
          <w:bCs w:val="0"/>
          <w:sz w:val="32"/>
          <w:szCs w:val="32"/>
          <w:lang w:eastAsia="zh-CN"/>
        </w:rPr>
        <w:t>加强党外知识分子联谊会实践基地建设；加强</w:t>
      </w:r>
      <w:r>
        <w:rPr>
          <w:rFonts w:hint="eastAsia" w:ascii="仿宋_GB2312" w:hAnsi="仿宋_GB2312" w:eastAsia="仿宋_GB2312" w:cs="仿宋_GB2312"/>
          <w:b w:val="0"/>
          <w:bCs w:val="0"/>
          <w:sz w:val="32"/>
          <w:szCs w:val="32"/>
        </w:rPr>
        <w:t>新的社会阶层人士</w:t>
      </w:r>
      <w:r>
        <w:rPr>
          <w:rFonts w:hint="eastAsia" w:ascii="仿宋_GB2312" w:hAnsi="仿宋_GB2312" w:eastAsia="仿宋_GB2312" w:cs="仿宋_GB2312"/>
          <w:b w:val="0"/>
          <w:bCs w:val="0"/>
          <w:sz w:val="32"/>
          <w:szCs w:val="32"/>
          <w:lang w:eastAsia="zh-CN"/>
        </w:rPr>
        <w:t>统战</w:t>
      </w:r>
      <w:r>
        <w:rPr>
          <w:rFonts w:hint="eastAsia" w:ascii="仿宋_GB2312" w:hAnsi="仿宋_GB2312" w:eastAsia="仿宋_GB2312" w:cs="仿宋_GB2312"/>
          <w:b w:val="0"/>
          <w:bCs w:val="0"/>
          <w:sz w:val="32"/>
          <w:szCs w:val="32"/>
        </w:rPr>
        <w:t>工作</w:t>
      </w:r>
      <w:r>
        <w:rPr>
          <w:rFonts w:hint="eastAsia" w:ascii="仿宋_GB2312" w:hAnsi="仿宋_GB2312" w:eastAsia="仿宋_GB2312" w:cs="仿宋_GB2312"/>
          <w:b w:val="0"/>
          <w:bCs w:val="0"/>
          <w:sz w:val="32"/>
          <w:szCs w:val="32"/>
          <w:lang w:eastAsia="zh-CN"/>
        </w:rPr>
        <w:t>；加强</w:t>
      </w:r>
      <w:r>
        <w:rPr>
          <w:rFonts w:hint="eastAsia" w:ascii="仿宋_GB2312" w:hAnsi="仿宋_GB2312" w:eastAsia="仿宋_GB2312" w:cs="仿宋_GB2312"/>
          <w:b w:val="0"/>
          <w:bCs w:val="0"/>
          <w:sz w:val="32"/>
          <w:szCs w:val="32"/>
        </w:rPr>
        <w:t>党外干部队伍建设</w:t>
      </w:r>
      <w:r>
        <w:rPr>
          <w:rFonts w:hint="eastAsia" w:ascii="仿宋_GB2312" w:hAnsi="仿宋_GB2312" w:eastAsia="仿宋_GB2312" w:cs="仿宋_GB2312"/>
          <w:b w:val="0"/>
          <w:bCs w:val="0"/>
          <w:sz w:val="32"/>
          <w:szCs w:val="32"/>
          <w:lang w:eastAsia="zh-CN"/>
        </w:rPr>
        <w:t>。</w:t>
      </w:r>
      <w:r>
        <w:rPr>
          <w:rFonts w:hint="eastAsia" w:ascii="仿宋_GB2312" w:eastAsia="仿宋_GB2312"/>
          <w:b w:val="0"/>
          <w:bCs w:val="0"/>
          <w:sz w:val="32"/>
          <w:szCs w:val="32"/>
          <w:lang w:val="en-US" w:eastAsia="zh-CN"/>
        </w:rPr>
        <w:t>组织和开展各项活动，</w:t>
      </w:r>
      <w:r>
        <w:rPr>
          <w:rFonts w:hint="eastAsia" w:ascii="仿宋_GB2312" w:eastAsia="仿宋_GB2312"/>
          <w:b w:val="0"/>
          <w:bCs w:val="0"/>
          <w:sz w:val="30"/>
          <w:szCs w:val="30"/>
          <w:lang w:val="en-US" w:eastAsia="zh-CN"/>
        </w:rPr>
        <w:t>并达到加强团结，增进共识的实际效果。</w:t>
      </w:r>
    </w:p>
    <w:p>
      <w:pPr>
        <w:ind w:firstLine="640" w:firstLineChars="200"/>
        <w:rPr>
          <w:rFonts w:ascii="仿宋" w:hAnsi="仿宋" w:eastAsia="仿宋"/>
          <w:sz w:val="32"/>
          <w:szCs w:val="32"/>
        </w:rPr>
      </w:pPr>
      <w:r>
        <w:rPr>
          <w:rFonts w:hint="eastAsia" w:ascii="仿宋" w:hAnsi="仿宋" w:eastAsia="仿宋"/>
          <w:sz w:val="32"/>
          <w:szCs w:val="32"/>
        </w:rPr>
        <w:t>（一）产出指标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开展活动的次数、调查研究的次数以及开展培训班的的次数</w:t>
      </w:r>
    </w:p>
    <w:p>
      <w:pPr>
        <w:ind w:firstLine="640" w:firstLineChars="200"/>
        <w:rPr>
          <w:rFonts w:hint="eastAsia" w:ascii="仿宋" w:hAnsi="仿宋" w:eastAsia="仿宋"/>
          <w:sz w:val="32"/>
          <w:szCs w:val="32"/>
        </w:rPr>
      </w:pPr>
      <w:r>
        <w:rPr>
          <w:rFonts w:hint="eastAsia" w:ascii="仿宋" w:hAnsi="仿宋" w:eastAsia="仿宋"/>
          <w:sz w:val="32"/>
          <w:szCs w:val="32"/>
        </w:rPr>
        <w:t>（二）效果指标</w:t>
      </w:r>
    </w:p>
    <w:p>
      <w:pPr>
        <w:keepNext w:val="0"/>
        <w:keepLines w:val="0"/>
        <w:pageBreakBefore w:val="0"/>
        <w:widowControl w:val="0"/>
        <w:numPr>
          <w:ilvl w:val="0"/>
          <w:numId w:val="0"/>
        </w:numPr>
        <w:kinsoku/>
        <w:wordWrap/>
        <w:overflowPunct/>
        <w:topLinePunct w:val="0"/>
        <w:autoSpaceDE/>
        <w:autoSpaceDN/>
        <w:bidi w:val="0"/>
        <w:snapToGrid/>
        <w:spacing w:line="578" w:lineRule="exact"/>
        <w:ind w:left="0" w:leftChars="0" w:right="0" w:righ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加强</w:t>
      </w:r>
      <w:r>
        <w:rPr>
          <w:rFonts w:hint="eastAsia" w:ascii="仿宋_GB2312" w:hAnsi="仿宋_GB2312" w:eastAsia="仿宋_GB2312" w:cs="仿宋_GB2312"/>
          <w:b w:val="0"/>
          <w:bCs w:val="0"/>
          <w:sz w:val="32"/>
          <w:szCs w:val="32"/>
        </w:rPr>
        <w:t>民主党派</w:t>
      </w:r>
      <w:r>
        <w:rPr>
          <w:rFonts w:hint="eastAsia" w:ascii="仿宋_GB2312" w:hAnsi="仿宋_GB2312" w:eastAsia="仿宋_GB2312" w:cs="仿宋_GB2312"/>
          <w:b w:val="0"/>
          <w:bCs w:val="0"/>
          <w:sz w:val="32"/>
          <w:szCs w:val="32"/>
          <w:lang w:eastAsia="zh-CN"/>
        </w:rPr>
        <w:t>基层组织建设。</w:t>
      </w:r>
      <w:r>
        <w:rPr>
          <w:rFonts w:hint="eastAsia" w:ascii="仿宋_GB2312" w:hAnsi="仿宋_GB2312" w:eastAsia="仿宋_GB2312" w:cs="仿宋_GB2312"/>
          <w:b w:val="0"/>
          <w:bCs w:val="0"/>
          <w:color w:val="000000"/>
          <w:sz w:val="32"/>
          <w:szCs w:val="32"/>
          <w:lang w:eastAsia="zh-CN"/>
        </w:rPr>
        <w:t>支持各党派组织开展“不忘合作初心、继续携手前进”主题教育活动和社会实践活动</w:t>
      </w:r>
      <w:r>
        <w:rPr>
          <w:rFonts w:hint="eastAsia" w:ascii="仿宋_GB2312" w:hAnsi="仿宋_GB2312" w:eastAsia="仿宋_GB2312" w:cs="仿宋_GB2312"/>
          <w:b w:val="0"/>
          <w:bCs w:val="0"/>
          <w:color w:val="000000"/>
          <w:sz w:val="32"/>
          <w:szCs w:val="32"/>
          <w:lang w:val="en-US" w:eastAsia="zh-CN"/>
        </w:rPr>
        <w:t>；</w:t>
      </w:r>
      <w:r>
        <w:rPr>
          <w:rFonts w:hint="eastAsia" w:ascii="仿宋_GB2312" w:hAnsi="仿宋_GB2312" w:eastAsia="仿宋_GB2312" w:cs="仿宋_GB2312"/>
          <w:b w:val="0"/>
          <w:bCs w:val="0"/>
          <w:color w:val="000000"/>
          <w:sz w:val="32"/>
          <w:szCs w:val="32"/>
          <w:lang w:eastAsia="zh-CN"/>
        </w:rPr>
        <w:t>成立了“</w:t>
      </w:r>
      <w:r>
        <w:rPr>
          <w:rFonts w:hint="eastAsia" w:ascii="仿宋_GB2312" w:hAnsi="仿宋_GB2312" w:eastAsia="仿宋_GB2312" w:cs="仿宋_GB2312"/>
          <w:b w:val="0"/>
          <w:bCs w:val="0"/>
          <w:color w:val="000000"/>
          <w:sz w:val="32"/>
          <w:szCs w:val="32"/>
        </w:rPr>
        <w:t>民主党派之家</w:t>
      </w:r>
      <w:r>
        <w:rPr>
          <w:rFonts w:hint="eastAsia" w:ascii="仿宋_GB2312" w:hAnsi="仿宋_GB2312" w:eastAsia="仿宋_GB2312" w:cs="仿宋_GB2312"/>
          <w:b w:val="0"/>
          <w:bCs w:val="0"/>
          <w:color w:val="000000"/>
          <w:sz w:val="32"/>
          <w:szCs w:val="32"/>
          <w:lang w:eastAsia="zh-CN"/>
        </w:rPr>
        <w:t>”，各党派先后</w:t>
      </w:r>
      <w:r>
        <w:rPr>
          <w:rFonts w:hint="eastAsia" w:ascii="仿宋_GB2312" w:hAnsi="仿宋_GB2312" w:eastAsia="仿宋_GB2312" w:cs="仿宋_GB2312"/>
          <w:b w:val="0"/>
          <w:bCs w:val="0"/>
          <w:color w:val="000000"/>
          <w:sz w:val="32"/>
          <w:szCs w:val="32"/>
          <w:lang w:val="en-US" w:eastAsia="zh-CN"/>
        </w:rPr>
        <w:t>开展爱国主义教育4次，专题调研活动3次，社会服务活动5次。</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加强党外知识分子联谊会实践基地建设。知联会新增实践基地</w:t>
      </w:r>
      <w:r>
        <w:rPr>
          <w:rFonts w:hint="eastAsia" w:ascii="仿宋_GB2312" w:hAnsi="仿宋_GB2312" w:eastAsia="仿宋_GB2312" w:cs="仿宋_GB2312"/>
          <w:b w:val="0"/>
          <w:bCs w:val="0"/>
          <w:sz w:val="32"/>
          <w:szCs w:val="32"/>
          <w:lang w:val="en-US" w:eastAsia="zh-CN"/>
        </w:rPr>
        <w:t>7个，先后开展了“送健康、送法律、送急救”进社区、进企业活动，开展法律服务进校园3次，农业技术培训指导4次，组织联络联谊活动8次，服务群众400多人次。</w:t>
      </w:r>
    </w:p>
    <w:p>
      <w:pPr>
        <w:ind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加强</w:t>
      </w:r>
      <w:r>
        <w:rPr>
          <w:rFonts w:hint="eastAsia" w:ascii="仿宋_GB2312" w:hAnsi="仿宋_GB2312" w:eastAsia="仿宋_GB2312" w:cs="仿宋_GB2312"/>
          <w:b w:val="0"/>
          <w:bCs w:val="0"/>
          <w:sz w:val="32"/>
          <w:szCs w:val="32"/>
        </w:rPr>
        <w:t>新的社会阶层人士</w:t>
      </w:r>
      <w:r>
        <w:rPr>
          <w:rFonts w:hint="eastAsia" w:ascii="仿宋_GB2312" w:hAnsi="仿宋_GB2312" w:eastAsia="仿宋_GB2312" w:cs="仿宋_GB2312"/>
          <w:b w:val="0"/>
          <w:bCs w:val="0"/>
          <w:sz w:val="32"/>
          <w:szCs w:val="32"/>
          <w:lang w:eastAsia="zh-CN"/>
        </w:rPr>
        <w:t>统战</w:t>
      </w:r>
      <w:r>
        <w:rPr>
          <w:rFonts w:hint="eastAsia" w:ascii="仿宋_GB2312" w:hAnsi="仿宋_GB2312" w:eastAsia="仿宋_GB2312" w:cs="仿宋_GB2312"/>
          <w:b w:val="0"/>
          <w:bCs w:val="0"/>
          <w:sz w:val="32"/>
          <w:szCs w:val="32"/>
        </w:rPr>
        <w:t>工作</w:t>
      </w:r>
      <w:r>
        <w:rPr>
          <w:rFonts w:hint="eastAsia" w:ascii="仿宋_GB2312" w:hAnsi="仿宋_GB2312" w:eastAsia="仿宋_GB2312" w:cs="仿宋_GB2312"/>
          <w:b w:val="0"/>
          <w:bCs w:val="0"/>
          <w:sz w:val="32"/>
          <w:szCs w:val="32"/>
          <w:lang w:eastAsia="zh-CN"/>
        </w:rPr>
        <w:t>。新</w:t>
      </w:r>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增新的社会阶层人士实践创新基地1处，组织君乐宝、科林电器和军鼎科技园相关负责人，到裕华区就做好新的社会阶层人士统战工作的先进经验和做法进行学习。指导三个单位的党组织加强</w:t>
      </w:r>
      <w:r>
        <w:rPr>
          <w:rFonts w:hint="eastAsia" w:ascii="仿宋_GB2312" w:hAnsi="仿宋_GB2312" w:eastAsia="仿宋_GB2312" w:cs="仿宋_GB2312"/>
          <w:b w:val="0"/>
          <w:bCs w:val="0"/>
          <w:sz w:val="32"/>
          <w:szCs w:val="32"/>
          <w:lang w:eastAsia="zh-CN"/>
        </w:rPr>
        <w:t>对新的社会阶层人士统战工作的组织和领导，更好的团结和引领新的社会阶层人士。</w:t>
      </w:r>
    </w:p>
    <w:p>
      <w:pPr>
        <w:keepNext w:val="0"/>
        <w:keepLines w:val="0"/>
        <w:pageBreakBefore w:val="0"/>
        <w:widowControl w:val="0"/>
        <w:numPr>
          <w:ilvl w:val="0"/>
          <w:numId w:val="0"/>
        </w:numPr>
        <w:kinsoku/>
        <w:wordWrap/>
        <w:overflowPunct/>
        <w:topLinePunct w:val="0"/>
        <w:autoSpaceDE/>
        <w:autoSpaceDN/>
        <w:bidi w:val="0"/>
        <w:snapToGrid/>
        <w:spacing w:line="578" w:lineRule="exact"/>
        <w:ind w:left="0" w:leftChars="0"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（四）加强</w:t>
      </w:r>
      <w:r>
        <w:rPr>
          <w:rFonts w:hint="eastAsia" w:ascii="仿宋_GB2312" w:hAnsi="仿宋_GB2312" w:eastAsia="仿宋_GB2312" w:cs="仿宋_GB2312"/>
          <w:b w:val="0"/>
          <w:bCs w:val="0"/>
          <w:sz w:val="32"/>
          <w:szCs w:val="32"/>
        </w:rPr>
        <w:t>党外干部队伍建设。</w:t>
      </w:r>
      <w:r>
        <w:rPr>
          <w:rFonts w:hint="eastAsia" w:ascii="仿宋_GB2312" w:hAnsi="仿宋_GB2312" w:eastAsia="仿宋_GB2312" w:cs="仿宋_GB2312"/>
          <w:b w:val="0"/>
          <w:bCs w:val="0"/>
          <w:sz w:val="32"/>
          <w:szCs w:val="32"/>
          <w:lang w:eastAsia="zh-CN"/>
        </w:rPr>
        <w:t>对全区党外干部进行全面摸底统计，更新完善党外干部数据库和党外</w:t>
      </w:r>
      <w:r>
        <w:rPr>
          <w:rFonts w:hint="eastAsia" w:ascii="仿宋_GB2312" w:hAnsi="仿宋_GB2312" w:eastAsia="仿宋_GB2312" w:cs="仿宋_GB2312"/>
          <w:sz w:val="32"/>
          <w:szCs w:val="32"/>
          <w:lang w:eastAsia="zh-CN"/>
        </w:rPr>
        <w:t>后备人才库，加强对干部的跟踪培养，区委提拔使用科级党外干部</w:t>
      </w:r>
      <w:r>
        <w:rPr>
          <w:rFonts w:hint="eastAsia" w:ascii="仿宋_GB2312" w:hAnsi="仿宋_GB2312" w:eastAsia="仿宋_GB2312" w:cs="仿宋_GB2312"/>
          <w:sz w:val="32"/>
          <w:szCs w:val="32"/>
          <w:lang w:val="en-US" w:eastAsia="zh-CN"/>
        </w:rPr>
        <w:t>4人。</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_GB2312" w:eastAsia="仿宋_GB2312"/>
          <w:sz w:val="32"/>
          <w:szCs w:val="32"/>
        </w:rPr>
        <w:t>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rPr>
        <w:t>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楷体_GB2312" w:hAnsi="楷体_GB2312" w:eastAsia="楷体_GB2312" w:cs="楷体_GB2312"/>
          <w:b w:val="0"/>
          <w:bCs w:val="0"/>
          <w:sz w:val="32"/>
          <w:szCs w:val="32"/>
          <w:lang w:val="en-US" w:eastAsia="zh-CN"/>
        </w:rPr>
      </w:pPr>
      <w:r>
        <w:rPr>
          <w:rFonts w:hint="eastAsia" w:ascii="仿宋" w:hAnsi="仿宋" w:eastAsia="仿宋"/>
          <w:sz w:val="32"/>
          <w:szCs w:val="32"/>
          <w:lang w:eastAsia="zh-CN"/>
        </w:rPr>
        <w:t>该项目的实际完成率、完成及时率、质量达标率、成本节约率良好，经分析，项目产出分值为</w:t>
      </w:r>
      <w:r>
        <w:rPr>
          <w:rFonts w:hint="eastAsia" w:ascii="仿宋" w:hAnsi="仿宋" w:eastAsia="仿宋"/>
          <w:sz w:val="32"/>
          <w:szCs w:val="32"/>
          <w:lang w:val="en-US" w:eastAsia="zh-CN"/>
        </w:rPr>
        <w:t>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仿宋_GB2312" w:eastAsia="仿宋_GB2312"/>
          <w:sz w:val="32"/>
          <w:szCs w:val="32"/>
          <w:lang w:val="en-US" w:eastAsia="zh-CN"/>
        </w:rPr>
        <w:t xml:space="preserve"> </w:t>
      </w:r>
    </w:p>
    <w:p>
      <w:pPr>
        <w:numPr>
          <w:ilvl w:val="0"/>
          <w:numId w:val="0"/>
        </w:numPr>
        <w:ind w:firstLine="643" w:firstLineChars="200"/>
        <w:rPr>
          <w:rFonts w:hint="eastAsia" w:ascii="黑体" w:hAnsi="黑体" w:eastAsia="黑体"/>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工作开展进度慢。</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按照工作计划，加快项目开展进度。</w:t>
      </w:r>
    </w:p>
    <w:p>
      <w:pPr>
        <w:numPr>
          <w:ilvl w:val="0"/>
          <w:numId w:val="4"/>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统战部常务副部长：梁宝昆</w:t>
      </w:r>
    </w:p>
    <w:p>
      <w:pPr>
        <w:numPr>
          <w:ilvl w:val="0"/>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统战部办公室秘书：李建江</w:t>
      </w:r>
    </w:p>
    <w:p>
      <w:pPr>
        <w:numPr>
          <w:ilvl w:val="0"/>
          <w:numId w:val="0"/>
        </w:numPr>
        <w:adjustRightInd w:val="0"/>
        <w:snapToGrid w:val="0"/>
        <w:spacing w:line="360" w:lineRule="auto"/>
        <w:rPr>
          <w:rFonts w:hint="default" w:ascii="黑体" w:eastAsia="黑体"/>
          <w:b w:val="0"/>
          <w:bCs w:val="0"/>
          <w:sz w:val="32"/>
          <w:szCs w:val="32"/>
          <w:lang w:val="en-US" w:eastAsia="zh-CN"/>
        </w:rPr>
      </w:pPr>
      <w:r>
        <w:rPr>
          <w:rFonts w:hint="eastAsia" w:ascii="黑体" w:eastAsia="黑体"/>
          <w:b w:val="0"/>
          <w:bCs w:val="0"/>
          <w:sz w:val="32"/>
          <w:szCs w:val="32"/>
          <w:lang w:val="en-US" w:eastAsia="zh-CN"/>
        </w:rPr>
        <w:t xml:space="preserve">   统战部会计：路晓静</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AC43C3"/>
    <w:multiLevelType w:val="singleLevel"/>
    <w:tmpl w:val="9AAC43C3"/>
    <w:lvl w:ilvl="0" w:tentative="0">
      <w:start w:val="2"/>
      <w:numFmt w:val="chineseCounting"/>
      <w:suff w:val="nothing"/>
      <w:lvlText w:val="（%1）"/>
      <w:lvlJc w:val="left"/>
      <w:rPr>
        <w:rFonts w:hint="eastAsia"/>
      </w:rPr>
    </w:lvl>
  </w:abstractNum>
  <w:abstractNum w:abstractNumId="1">
    <w:nsid w:val="BAD03B45"/>
    <w:multiLevelType w:val="singleLevel"/>
    <w:tmpl w:val="BAD03B45"/>
    <w:lvl w:ilvl="0" w:tentative="0">
      <w:start w:val="2"/>
      <w:numFmt w:val="decimal"/>
      <w:lvlText w:val="%1."/>
      <w:lvlJc w:val="left"/>
      <w:pPr>
        <w:tabs>
          <w:tab w:val="left" w:pos="312"/>
        </w:tabs>
        <w:ind w:left="800" w:leftChars="0" w:firstLine="0" w:firstLineChars="0"/>
      </w:pPr>
    </w:lvl>
  </w:abstractNum>
  <w:abstractNum w:abstractNumId="2">
    <w:nsid w:val="502AF929"/>
    <w:multiLevelType w:val="singleLevel"/>
    <w:tmpl w:val="502AF929"/>
    <w:lvl w:ilvl="0" w:tentative="0">
      <w:start w:val="6"/>
      <w:numFmt w:val="chineseCounting"/>
      <w:suff w:val="nothing"/>
      <w:lvlText w:val="%1、"/>
      <w:lvlJc w:val="left"/>
      <w:rPr>
        <w:rFonts w:hint="eastAsia"/>
      </w:rPr>
    </w:lvl>
  </w:abstractNum>
  <w:abstractNum w:abstractNumId="3">
    <w:nsid w:val="76D514DF"/>
    <w:multiLevelType w:val="singleLevel"/>
    <w:tmpl w:val="76D514DF"/>
    <w:lvl w:ilvl="0" w:tentative="0">
      <w:start w:val="2"/>
      <w:numFmt w:val="decimal"/>
      <w:lvlText w:val="%1."/>
      <w:lvlJc w:val="left"/>
      <w:pPr>
        <w:tabs>
          <w:tab w:val="left" w:pos="312"/>
        </w:tabs>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1617968"/>
    <w:rsid w:val="223E2D11"/>
    <w:rsid w:val="2A2941B7"/>
    <w:rsid w:val="4EB122CD"/>
    <w:rsid w:val="53D8467B"/>
    <w:rsid w:val="60F52B71"/>
    <w:rsid w:val="64E23DD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2020-01-07T07:06:52Z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