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rPr>
      </w:pPr>
      <w:r>
        <w:rPr>
          <w:rFonts w:hint="eastAsia" w:asciiTheme="majorEastAsia" w:hAnsiTheme="majorEastAsia" w:eastAsiaTheme="majorEastAsia" w:cstheme="majorEastAsia"/>
          <w:b/>
          <w:bCs/>
          <w:sz w:val="36"/>
          <w:szCs w:val="36"/>
          <w:lang w:eastAsia="zh-CN"/>
        </w:rPr>
        <w:t>协调机制</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宋体"/>
          <w:b/>
          <w:bCs/>
          <w:sz w:val="36"/>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协调机制项目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本项目实施单位为鹿泉区委统战部，涉及全区统战工作开展。该项目经过集体研究决策，具有可行性。</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numPr>
          <w:numId w:val="0"/>
        </w:numPr>
        <w:adjustRightInd w:val="0"/>
        <w:snapToGrid w:val="0"/>
        <w:spacing w:line="360" w:lineRule="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贯彻落实加强党对统战工作集中统一领导的要求，发挥区委在统战工作方面的参谋机构、组织协调机构、具体执行机构、督促检查机构作用，了解情况、掌握政策、协调关系、安排、增进共识、加强团结，协调统一战线各方面关系。</w:t>
      </w:r>
    </w:p>
    <w:p>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numPr>
          <w:numId w:val="0"/>
        </w:numPr>
        <w:adjustRightInd w:val="0"/>
        <w:snapToGrid w:val="0"/>
        <w:spacing w:line="360" w:lineRule="auto"/>
        <w:ind w:left="800" w:leftChars="0"/>
        <w:rPr>
          <w:rFonts w:hint="default" w:ascii="仿宋_GB2312" w:eastAsia="仿宋_GB2312"/>
          <w:sz w:val="32"/>
          <w:szCs w:val="32"/>
          <w:lang w:val="en-US" w:eastAsia="zh-CN"/>
        </w:rPr>
      </w:pPr>
      <w:r>
        <w:rPr>
          <w:rFonts w:hint="eastAsia" w:ascii="仿宋_GB2312" w:eastAsia="仿宋_GB2312"/>
          <w:sz w:val="32"/>
          <w:szCs w:val="32"/>
          <w:lang w:val="en-US" w:eastAsia="zh-CN"/>
        </w:rPr>
        <w:t>项目总投资3万元，全部由鹿泉区财政出资。</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组织、落实中央和省、市、区委关于统一战线工作重大决策部署，巩固壮大最广泛的统一战线。</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根据河北省委、石家庄市委和鹿泉市委贯彻落实《中共中央关于巩固和壮大新世纪新阶段统一战线的意见》文件有关规定，组织实施。</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numId w:val="0"/>
        </w:numPr>
        <w:ind w:right="0" w:rightChars="0" w:firstLine="640" w:firstLineChars="200"/>
        <w:jc w:val="both"/>
        <w:rPr>
          <w:rFonts w:hint="eastAsia" w:ascii="楷体_GB2312" w:hAnsi="楷体_GB2312" w:eastAsia="楷体_GB2312" w:cs="楷体_GB2312"/>
          <w:b/>
          <w:bCs/>
          <w:sz w:val="32"/>
          <w:szCs w:val="32"/>
          <w:lang w:val="en-US" w:eastAsia="zh-CN"/>
        </w:rPr>
      </w:pPr>
      <w:r>
        <w:rPr>
          <w:rFonts w:hint="eastAsia" w:ascii="仿宋_GB2312" w:eastAsia="仿宋_GB2312"/>
          <w:sz w:val="32"/>
          <w:szCs w:val="32"/>
          <w:lang w:val="en-US" w:eastAsia="zh-CN"/>
        </w:rPr>
        <w:t>建立党委领导，政府支持，统战部协调抓总体，各部门密切配合，全社会参与统战工作协调机制。</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建立绩效评价指标体系</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总绩效目标：贯彻落实加强党对统战工作集中统一领导的要求，发挥区委在统战工作方面的参谋机构、组织协调机构、具体执行机构、督促检查机构作用，了解情况、掌握政策、协调关系、安排、增进共识、加强团结，协调统一战线各方面关系。</w:t>
      </w:r>
      <w:r>
        <w:rPr>
          <w:rFonts w:hint="eastAsia" w:ascii="仿宋_GB2312" w:eastAsia="仿宋_GB2312"/>
          <w:sz w:val="32"/>
          <w:szCs w:val="32"/>
          <w:lang w:eastAsia="zh-CN"/>
        </w:rPr>
        <w:t>组织、落实中央和省、市、区委关于统一战线工作重大决策部署，巩固壮大最广泛的统一战线。</w:t>
      </w:r>
    </w:p>
    <w:p>
      <w:pPr>
        <w:ind w:firstLine="640" w:firstLineChars="200"/>
        <w:rPr>
          <w:rFonts w:ascii="仿宋" w:hAnsi="仿宋" w:eastAsia="仿宋"/>
          <w:sz w:val="32"/>
          <w:szCs w:val="32"/>
        </w:rPr>
      </w:pPr>
      <w:r>
        <w:rPr>
          <w:rFonts w:hint="eastAsia" w:ascii="仿宋" w:hAnsi="仿宋" w:eastAsia="仿宋"/>
          <w:sz w:val="32"/>
          <w:szCs w:val="32"/>
        </w:rPr>
        <w:t>（一）产出指标</w:t>
      </w:r>
    </w:p>
    <w:p>
      <w:pPr>
        <w:ind w:firstLine="600" w:firstLineChars="200"/>
        <w:rPr>
          <w:rFonts w:hint="eastAsia" w:ascii="仿宋_GB2312" w:eastAsia="仿宋_GB2312"/>
          <w:b w:val="0"/>
          <w:bCs w:val="0"/>
          <w:sz w:val="30"/>
          <w:szCs w:val="30"/>
          <w:lang w:val="en-US" w:eastAsia="zh-CN"/>
        </w:rPr>
      </w:pPr>
      <w:r>
        <w:rPr>
          <w:rFonts w:hint="eastAsia" w:ascii="仿宋_GB2312" w:eastAsia="仿宋_GB2312"/>
          <w:b w:val="0"/>
          <w:bCs w:val="0"/>
          <w:sz w:val="30"/>
          <w:szCs w:val="30"/>
          <w:lang w:val="en-US" w:eastAsia="zh-CN"/>
        </w:rPr>
        <w:t>开展协调活动的次数、开展组织活动的次数以及调研的次数。</w:t>
      </w:r>
    </w:p>
    <w:p>
      <w:pPr>
        <w:numPr>
          <w:ilvl w:val="0"/>
          <w:numId w:val="3"/>
        </w:numPr>
        <w:ind w:firstLine="640" w:firstLineChars="200"/>
        <w:rPr>
          <w:rFonts w:hint="eastAsia" w:ascii="仿宋" w:hAnsi="仿宋" w:eastAsia="仿宋"/>
          <w:sz w:val="32"/>
          <w:szCs w:val="32"/>
        </w:rPr>
      </w:pPr>
      <w:r>
        <w:rPr>
          <w:rFonts w:hint="eastAsia" w:ascii="仿宋" w:hAnsi="仿宋" w:eastAsia="仿宋"/>
          <w:sz w:val="32"/>
          <w:szCs w:val="32"/>
        </w:rPr>
        <w:t>效果指标</w:t>
      </w:r>
    </w:p>
    <w:p>
      <w:pPr>
        <w:numPr>
          <w:numId w:val="0"/>
        </w:numPr>
        <w:rPr>
          <w:rFonts w:hint="default" w:ascii="仿宋" w:hAnsi="仿宋" w:eastAsia="仿宋"/>
          <w:sz w:val="32"/>
          <w:szCs w:val="32"/>
          <w:lang w:val="en-US" w:eastAsia="zh-CN"/>
        </w:rPr>
      </w:pPr>
      <w:r>
        <w:rPr>
          <w:rFonts w:hint="eastAsia" w:ascii="仿宋" w:hAnsi="仿宋" w:eastAsia="仿宋"/>
          <w:sz w:val="32"/>
          <w:szCs w:val="32"/>
          <w:lang w:val="en-US" w:eastAsia="zh-CN"/>
        </w:rPr>
        <w:t xml:space="preserve">    通过召开统战工作联席会议、统战工作领导小组会议、组织综合评价等工作形式，</w:t>
      </w:r>
      <w:r>
        <w:rPr>
          <w:rFonts w:hint="eastAsia" w:ascii="仿宋_GB2312" w:eastAsia="仿宋_GB2312"/>
          <w:sz w:val="32"/>
          <w:szCs w:val="32"/>
          <w:lang w:val="en-US" w:eastAsia="zh-CN"/>
        </w:rPr>
        <w:t>协调统一战线各方面关系。达到</w:t>
      </w:r>
      <w:r>
        <w:rPr>
          <w:rFonts w:hint="eastAsia" w:ascii="仿宋_GB2312" w:eastAsia="仿宋_GB2312"/>
          <w:sz w:val="32"/>
          <w:szCs w:val="32"/>
          <w:lang w:eastAsia="zh-CN"/>
        </w:rPr>
        <w:t>组织、落实中央和省、市、区委关于统一战线工作重大决策部署，巩固壮大最广泛的统一战线的效果。</w:t>
      </w:r>
    </w:p>
    <w:p>
      <w:pPr>
        <w:adjustRightInd w:val="0"/>
        <w:snapToGrid w:val="0"/>
        <w:spacing w:line="360" w:lineRule="auto"/>
        <w:ind w:firstLine="640" w:firstLineChars="200"/>
        <w:rPr>
          <w:rFonts w:hint="eastAsia" w:ascii="仿宋_GB2312" w:eastAsia="仿宋_GB2312"/>
          <w:sz w:val="32"/>
          <w:szCs w:val="32"/>
          <w:lang w:eastAsia="zh-CN"/>
        </w:rPr>
      </w:pPr>
    </w:p>
    <w:p>
      <w:pPr>
        <w:numPr>
          <w:numId w:val="0"/>
        </w:numPr>
        <w:ind w:left="481" w:leftChars="0" w:right="0" w:rightChars="0"/>
        <w:jc w:val="both"/>
        <w:rPr>
          <w:rFonts w:hint="eastAsia" w:ascii="楷体_GB2312" w:hAnsi="楷体_GB2312" w:eastAsia="楷体_GB2312" w:cs="楷体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spacing w:line="578" w:lineRule="exact"/>
        <w:ind w:firstLine="640" w:firstLineChars="200"/>
        <w:rPr>
          <w:rFonts w:ascii="仿宋_GB2312" w:eastAsia="仿宋_GB2312"/>
          <w:sz w:val="32"/>
          <w:szCs w:val="32"/>
        </w:rPr>
      </w:pPr>
      <w:r>
        <w:rPr>
          <w:rFonts w:ascii="仿宋_GB2312" w:eastAsia="仿宋_GB2312"/>
          <w:sz w:val="32"/>
          <w:szCs w:val="32"/>
        </w:rPr>
        <w:t>项目</w:t>
      </w:r>
      <w:r>
        <w:rPr>
          <w:rFonts w:hint="eastAsia" w:ascii="仿宋_GB2312" w:eastAsia="仿宋_GB2312"/>
          <w:sz w:val="32"/>
          <w:szCs w:val="32"/>
        </w:rPr>
        <w:t>立项情况分析。该项目</w:t>
      </w:r>
      <w:r>
        <w:rPr>
          <w:rFonts w:ascii="仿宋_GB2312" w:eastAsia="仿宋_GB2312"/>
          <w:sz w:val="32"/>
          <w:szCs w:val="32"/>
        </w:rPr>
        <w:t>立项规范</w:t>
      </w:r>
      <w:r>
        <w:rPr>
          <w:rFonts w:hint="eastAsia" w:ascii="仿宋_GB2312" w:eastAsia="仿宋_GB2312"/>
          <w:sz w:val="32"/>
          <w:szCs w:val="32"/>
        </w:rPr>
        <w:t>、绩效目标合理、绩效指标明确，经分析，项目投入分值为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numPr>
          <w:ilvl w:val="0"/>
          <w:numId w:val="4"/>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资金落实情况分析。</w:t>
      </w:r>
    </w:p>
    <w:p>
      <w:pPr>
        <w:numPr>
          <w:ilvl w:val="0"/>
          <w:numId w:val="0"/>
        </w:numPr>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仿宋_GB2312" w:eastAsia="仿宋_GB2312"/>
          <w:sz w:val="32"/>
          <w:szCs w:val="32"/>
        </w:rPr>
        <w:t>该项目为区财政资金，资金到位和到位及时等情况好，经分析，资金落实情况分值为</w:t>
      </w:r>
      <w:r>
        <w:rPr>
          <w:rFonts w:hint="eastAsia" w:ascii="仿宋_GB2312" w:eastAsia="仿宋_GB2312"/>
          <w:sz w:val="32"/>
          <w:szCs w:val="32"/>
          <w:lang w:val="en-US" w:eastAsia="zh-CN"/>
        </w:rPr>
        <w:t>100</w:t>
      </w:r>
      <w:r>
        <w:rPr>
          <w:rFonts w:hint="eastAsia" w:ascii="仿宋_GB2312" w:eastAsia="仿宋_GB2312"/>
          <w:sz w:val="32"/>
          <w:szCs w:val="32"/>
        </w:rPr>
        <w:t>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spacing w:line="578" w:lineRule="exact"/>
        <w:ind w:firstLine="640" w:firstLineChars="200"/>
        <w:rPr>
          <w:rFonts w:ascii="仿宋_GB2312" w:eastAsia="仿宋_GB2312"/>
          <w:sz w:val="32"/>
          <w:szCs w:val="32"/>
        </w:rPr>
      </w:pPr>
      <w:r>
        <w:rPr>
          <w:rFonts w:hint="eastAsia" w:ascii="仿宋_GB2312" w:eastAsia="仿宋_GB2312"/>
          <w:b w:val="0"/>
          <w:bCs w:val="0"/>
          <w:sz w:val="32"/>
          <w:szCs w:val="32"/>
          <w:lang w:val="en-US" w:eastAsia="zh-CN"/>
        </w:rPr>
        <w:t>1.业务管理情况分析。</w:t>
      </w:r>
      <w:r>
        <w:rPr>
          <w:rFonts w:hint="eastAsia" w:ascii="仿宋_GB2312" w:eastAsia="仿宋_GB2312"/>
          <w:sz w:val="32"/>
          <w:szCs w:val="32"/>
        </w:rPr>
        <w:t>该项目管理制度健全、制度执行有效性、项目质量可控，经分析，项目实施过程分值为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2.财务管理。该项目管理制度健全、资金使用合规、财务监控有效，经分析项目实施过程分值为</w:t>
      </w:r>
      <w:r>
        <w:rPr>
          <w:rFonts w:hint="eastAsia" w:ascii="仿宋_GB2312" w:eastAsia="仿宋_GB2312"/>
          <w:sz w:val="32"/>
          <w:szCs w:val="32"/>
          <w:lang w:val="en-US" w:eastAsia="zh-CN"/>
        </w:rPr>
        <w:t>95</w:t>
      </w:r>
      <w:r>
        <w:rPr>
          <w:rFonts w:hint="eastAsia" w:ascii="仿宋_GB2312" w:eastAsia="仿宋_GB2312"/>
          <w:sz w:val="32"/>
          <w:szCs w:val="32"/>
        </w:rPr>
        <w:t>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 w:hAnsi="仿宋" w:eastAsia="仿宋"/>
          <w:sz w:val="32"/>
          <w:szCs w:val="32"/>
          <w:lang w:eastAsia="zh-CN"/>
        </w:rPr>
        <w:t>该项目的实际完成率、完成及时率、质量达标率、成本节约率良好，经分析，项目产出分值为</w:t>
      </w:r>
      <w:r>
        <w:rPr>
          <w:rFonts w:hint="eastAsia" w:ascii="仿宋" w:hAnsi="仿宋" w:eastAsia="仿宋"/>
          <w:sz w:val="32"/>
          <w:szCs w:val="32"/>
          <w:lang w:val="en-US" w:eastAsia="zh-CN"/>
        </w:rPr>
        <w:t>95分。</w:t>
      </w:r>
      <w:bookmarkStart w:id="0" w:name="_GoBack"/>
      <w:bookmarkEnd w:id="0"/>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rPr>
        <w:t>该项目的经济效益、社会效益、生态效益好、可持续影响明显，社会公众满意度高，经分析，项目效果分值为</w:t>
      </w:r>
      <w:r>
        <w:rPr>
          <w:rFonts w:hint="eastAsia" w:ascii="仿宋_GB2312" w:eastAsia="仿宋_GB2312"/>
          <w:sz w:val="32"/>
          <w:szCs w:val="32"/>
          <w:lang w:val="en-US" w:eastAsia="zh-CN"/>
        </w:rPr>
        <w:t>95</w:t>
      </w:r>
      <w:r>
        <w:rPr>
          <w:rFonts w:hint="eastAsia" w:ascii="仿宋_GB2312" w:eastAsia="仿宋_GB2312"/>
          <w:sz w:val="32"/>
          <w:szCs w:val="32"/>
        </w:rPr>
        <w:t>分。</w:t>
      </w:r>
      <w:r>
        <w:rPr>
          <w:rFonts w:hint="eastAsia" w:ascii="仿宋_GB2312" w:eastAsia="仿宋_GB2312"/>
          <w:sz w:val="32"/>
          <w:szCs w:val="32"/>
          <w:lang w:val="en-US" w:eastAsia="zh-CN"/>
        </w:rPr>
        <w:t xml:space="preserve"> </w:t>
      </w:r>
    </w:p>
    <w:p>
      <w:pPr>
        <w:numPr>
          <w:ilvl w:val="0"/>
          <w:numId w:val="0"/>
        </w:numPr>
        <w:ind w:firstLine="643" w:firstLineChars="200"/>
        <w:rPr>
          <w:rFonts w:hint="eastAsia" w:ascii="黑体" w:hAnsi="黑体" w:eastAsia="黑体"/>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根据项目执行情况和项目绩效情况，该项目综合绩效评价分为</w:t>
      </w:r>
      <w:r>
        <w:rPr>
          <w:rFonts w:hint="eastAsia" w:ascii="仿宋_GB2312" w:eastAsia="仿宋_GB2312"/>
          <w:sz w:val="32"/>
          <w:szCs w:val="32"/>
          <w:lang w:val="en-US" w:eastAsia="zh-CN"/>
        </w:rPr>
        <w:t>95</w:t>
      </w:r>
      <w:r>
        <w:rPr>
          <w:rFonts w:hint="eastAsia" w:ascii="仿宋_GB2312" w:eastAsia="仿宋_GB2312"/>
          <w:sz w:val="32"/>
          <w:szCs w:val="32"/>
        </w:rPr>
        <w:t>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0"/>
        </w:numPr>
        <w:ind w:firstLine="640" w:firstLineChars="200"/>
        <w:rPr>
          <w:rFonts w:hint="default"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工作开展进度慢。</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（二）针对问题提出具体的改进措施或建议</w:t>
      </w:r>
    </w:p>
    <w:p>
      <w:pPr>
        <w:numPr>
          <w:ilvl w:val="0"/>
          <w:numId w:val="0"/>
        </w:numPr>
        <w:ind w:left="481" w:lef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按照工作计划，加快项目开展进度。</w:t>
      </w:r>
    </w:p>
    <w:p>
      <w:pPr>
        <w:numPr>
          <w:ilvl w:val="0"/>
          <w:numId w:val="5"/>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numPr>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统战部常务副部长：梁宝昆</w:t>
      </w:r>
    </w:p>
    <w:p>
      <w:pPr>
        <w:numPr>
          <w:numId w:val="0"/>
        </w:numPr>
        <w:adjustRightInd w:val="0"/>
        <w:snapToGrid w:val="0"/>
        <w:spacing w:line="360" w:lineRule="auto"/>
        <w:rPr>
          <w:rFonts w:hint="eastAsia" w:ascii="黑体" w:eastAsia="黑体"/>
          <w:b w:val="0"/>
          <w:bCs w:val="0"/>
          <w:sz w:val="32"/>
          <w:szCs w:val="32"/>
          <w:lang w:val="en-US" w:eastAsia="zh-CN"/>
        </w:rPr>
      </w:pPr>
      <w:r>
        <w:rPr>
          <w:rFonts w:hint="eastAsia" w:ascii="黑体" w:eastAsia="黑体"/>
          <w:b w:val="0"/>
          <w:bCs w:val="0"/>
          <w:sz w:val="32"/>
          <w:szCs w:val="32"/>
          <w:lang w:val="en-US" w:eastAsia="zh-CN"/>
        </w:rPr>
        <w:t xml:space="preserve">   统战部办公室秘书：李建江</w:t>
      </w:r>
    </w:p>
    <w:p>
      <w:pPr>
        <w:numPr>
          <w:numId w:val="0"/>
        </w:numPr>
        <w:adjustRightInd w:val="0"/>
        <w:snapToGrid w:val="0"/>
        <w:spacing w:line="360" w:lineRule="auto"/>
        <w:rPr>
          <w:rFonts w:hint="default" w:ascii="黑体" w:eastAsia="黑体"/>
          <w:b w:val="0"/>
          <w:bCs w:val="0"/>
          <w:sz w:val="32"/>
          <w:szCs w:val="32"/>
          <w:lang w:val="en-US" w:eastAsia="zh-CN"/>
        </w:rPr>
      </w:pPr>
      <w:r>
        <w:rPr>
          <w:rFonts w:hint="eastAsia" w:ascii="黑体" w:eastAsia="黑体"/>
          <w:b w:val="0"/>
          <w:bCs w:val="0"/>
          <w:sz w:val="32"/>
          <w:szCs w:val="32"/>
          <w:lang w:val="en-US" w:eastAsia="zh-CN"/>
        </w:rPr>
        <w:t xml:space="preserve">   统战部会计：路晓静</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EF840E"/>
    <w:multiLevelType w:val="singleLevel"/>
    <w:tmpl w:val="8FEF840E"/>
    <w:lvl w:ilvl="0" w:tentative="0">
      <w:start w:val="2"/>
      <w:numFmt w:val="chineseCounting"/>
      <w:suff w:val="nothing"/>
      <w:lvlText w:val="（%1）"/>
      <w:lvlJc w:val="left"/>
      <w:pPr>
        <w:ind w:left="481" w:leftChars="0" w:firstLine="0" w:firstLineChars="0"/>
      </w:pPr>
      <w:rPr>
        <w:rFonts w:hint="eastAsia"/>
      </w:rPr>
    </w:lvl>
  </w:abstractNum>
  <w:abstractNum w:abstractNumId="1">
    <w:nsid w:val="A4A0C345"/>
    <w:multiLevelType w:val="singleLevel"/>
    <w:tmpl w:val="A4A0C345"/>
    <w:lvl w:ilvl="0" w:tentative="0">
      <w:start w:val="2"/>
      <w:numFmt w:val="chineseCounting"/>
      <w:suff w:val="nothing"/>
      <w:lvlText w:val="（%1）"/>
      <w:lvlJc w:val="left"/>
      <w:rPr>
        <w:rFonts w:hint="eastAsia"/>
      </w:rPr>
    </w:lvl>
  </w:abstractNum>
  <w:abstractNum w:abstractNumId="2">
    <w:nsid w:val="2D3A3BED"/>
    <w:multiLevelType w:val="singleLevel"/>
    <w:tmpl w:val="2D3A3BED"/>
    <w:lvl w:ilvl="0" w:tentative="0">
      <w:start w:val="2"/>
      <w:numFmt w:val="decimal"/>
      <w:lvlText w:val="%1."/>
      <w:lvlJc w:val="left"/>
      <w:pPr>
        <w:tabs>
          <w:tab w:val="left" w:pos="312"/>
        </w:tabs>
        <w:ind w:left="800" w:leftChars="0" w:firstLine="0" w:firstLineChars="0"/>
      </w:pPr>
    </w:lvl>
  </w:abstractNum>
  <w:abstractNum w:abstractNumId="3">
    <w:nsid w:val="502AF929"/>
    <w:multiLevelType w:val="singleLevel"/>
    <w:tmpl w:val="502AF929"/>
    <w:lvl w:ilvl="0" w:tentative="0">
      <w:start w:val="6"/>
      <w:numFmt w:val="chineseCounting"/>
      <w:suff w:val="nothing"/>
      <w:lvlText w:val="%1、"/>
      <w:lvlJc w:val="left"/>
      <w:rPr>
        <w:rFonts w:hint="eastAsia"/>
      </w:rPr>
    </w:lvl>
  </w:abstractNum>
  <w:abstractNum w:abstractNumId="4">
    <w:nsid w:val="76D514DF"/>
    <w:multiLevelType w:val="singleLevel"/>
    <w:tmpl w:val="76D514DF"/>
    <w:lvl w:ilvl="0" w:tentative="0">
      <w:start w:val="2"/>
      <w:numFmt w:val="decimal"/>
      <w:lvlText w:val="%1."/>
      <w:lvlJc w:val="left"/>
      <w:pPr>
        <w:tabs>
          <w:tab w:val="left" w:pos="312"/>
        </w:tabs>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1923943"/>
    <w:rsid w:val="2A2941B7"/>
    <w:rsid w:val="716A3B04"/>
    <w:rsid w:val="78F644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2020-01-07T06:28:32Z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