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adjustRightInd w:val="0"/>
        <w:snapToGrid w:val="0"/>
        <w:spacing w:line="360" w:lineRule="auto"/>
        <w:ind w:firstLine="723" w:firstLineChars="200"/>
        <w:jc w:val="center"/>
        <w:rPr>
          <w:rFonts w:hint="eastAsia" w:ascii="宋体"/>
          <w:b/>
          <w:bCs/>
          <w:sz w:val="36"/>
          <w:szCs w:val="32"/>
        </w:rPr>
      </w:pPr>
      <w:r>
        <w:rPr>
          <w:rFonts w:hint="eastAsia" w:ascii="宋体"/>
          <w:b/>
          <w:bCs/>
          <w:sz w:val="36"/>
          <w:szCs w:val="32"/>
          <w:lang w:eastAsia="zh-CN"/>
        </w:rPr>
        <w:t>人才绿卡生活补贴项目</w:t>
      </w:r>
      <w:r>
        <w:rPr>
          <w:rFonts w:hint="eastAsia" w:ascii="宋体"/>
          <w:b/>
          <w:bCs/>
          <w:sz w:val="36"/>
          <w:szCs w:val="32"/>
        </w:rPr>
        <w:t>绩效评价报告</w:t>
      </w: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人才绿卡生活补贴项目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项目实施单位：区委组织部人才工作科。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lang w:val="en-US" w:eastAsia="zh-CN"/>
        </w:rPr>
      </w:pPr>
      <w:r>
        <w:rPr>
          <w:rFonts w:hint="eastAsia" w:ascii="仿宋_GB2312" w:eastAsia="仿宋_GB2312"/>
          <w:sz w:val="32"/>
        </w:rPr>
        <w:t>根据区委办公室、区政府办公室《石家庄市鹿泉区建立服务人才发展绿卡制度实施办法（试行）》（</w:t>
      </w:r>
      <w:r>
        <w:rPr>
          <w:rFonts w:hint="eastAsia" w:ascii="仿宋_GB2312" w:hAnsi="宋体" w:eastAsia="仿宋_GB2312" w:cs="方正小标宋简体"/>
          <w:kern w:val="0"/>
          <w:sz w:val="32"/>
          <w:szCs w:val="32"/>
        </w:rPr>
        <w:t>鹿办字</w:t>
      </w:r>
      <w:r>
        <w:rPr>
          <w:rFonts w:hint="eastAsia" w:ascii="仿宋_GB2312" w:hAnsi="宋体" w:eastAsia="仿宋_GB2312"/>
          <w:sz w:val="32"/>
          <w:szCs w:val="32"/>
        </w:rPr>
        <w:t>〔2017〕24</w:t>
      </w:r>
      <w:r>
        <w:rPr>
          <w:rFonts w:hint="eastAsia" w:ascii="仿宋_GB2312" w:hAnsi="宋体" w:eastAsia="仿宋_GB2312" w:cs="宋体"/>
          <w:spacing w:val="24"/>
          <w:kern w:val="0"/>
          <w:sz w:val="32"/>
          <w:szCs w:val="32"/>
        </w:rPr>
        <w:t>号</w:t>
      </w:r>
      <w:r>
        <w:rPr>
          <w:rFonts w:hint="eastAsia" w:ascii="仿宋_GB2312" w:eastAsia="仿宋_GB2312"/>
          <w:sz w:val="32"/>
        </w:rPr>
        <w:t>）规定，</w:t>
      </w:r>
      <w:r>
        <w:rPr>
          <w:rFonts w:hint="eastAsia" w:ascii="仿宋_GB2312" w:eastAsia="仿宋_GB2312"/>
          <w:sz w:val="32"/>
          <w:szCs w:val="32"/>
        </w:rPr>
        <w:t>持“A卡”者根据不同类别可享受每人每月500——5000元不等的生活补贴</w:t>
      </w:r>
      <w:r>
        <w:rPr>
          <w:rFonts w:hint="eastAsia" w:ascii="仿宋_GB2312" w:eastAsia="仿宋_GB2312"/>
          <w:sz w:val="32"/>
          <w:szCs w:val="32"/>
          <w:lang w:eastAsia="zh-CN"/>
        </w:rPr>
        <w:t>，发放期限为自发卡之日起四年，</w:t>
      </w:r>
      <w:r>
        <w:rPr>
          <w:rFonts w:hint="eastAsia" w:ascii="仿宋_GB2312" w:eastAsia="仿宋_GB2312"/>
          <w:sz w:val="32"/>
          <w:lang w:val="en-US" w:eastAsia="zh-CN"/>
        </w:rPr>
        <w:t>2019年</w:t>
      </w:r>
      <w:r>
        <w:rPr>
          <w:rFonts w:hint="eastAsia" w:ascii="仿宋_GB2312" w:eastAsia="仿宋_GB2312"/>
          <w:sz w:val="32"/>
          <w:lang w:eastAsia="zh-CN"/>
        </w:rPr>
        <w:t>共计发放</w:t>
      </w:r>
      <w:r>
        <w:rPr>
          <w:rFonts w:hint="eastAsia" w:ascii="仿宋_GB2312" w:eastAsia="仿宋_GB2312"/>
          <w:sz w:val="32"/>
          <w:lang w:val="en-US" w:eastAsia="zh-CN"/>
        </w:rPr>
        <w:t>1489500元。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lang w:val="en-US" w:eastAsia="zh-CN"/>
        </w:rPr>
      </w:pPr>
      <w:r>
        <w:rPr>
          <w:rFonts w:hint="eastAsia" w:ascii="仿宋_GB2312" w:eastAsia="仿宋_GB2312"/>
          <w:sz w:val="32"/>
          <w:lang w:val="en-US" w:eastAsia="zh-CN"/>
        </w:rPr>
        <w:t>3.项目资金投入情况：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lang w:val="en-US" w:eastAsia="zh-CN"/>
        </w:rPr>
        <w:t>2019年6月、12月对我区</w:t>
      </w:r>
      <w:r>
        <w:rPr>
          <w:rFonts w:hint="eastAsia" w:ascii="仿宋_GB2312" w:eastAsia="仿宋_GB2312"/>
          <w:sz w:val="32"/>
          <w:lang w:eastAsia="zh-CN"/>
        </w:rPr>
        <w:t>持“A卡”人才</w:t>
      </w:r>
      <w:r>
        <w:rPr>
          <w:rFonts w:hint="eastAsia" w:ascii="仿宋_GB2312" w:eastAsia="仿宋_GB2312"/>
          <w:sz w:val="32"/>
          <w:lang w:val="en-US" w:eastAsia="zh-CN"/>
        </w:rPr>
        <w:t>发放2019</w:t>
      </w:r>
      <w:r>
        <w:rPr>
          <w:rFonts w:hint="eastAsia" w:ascii="仿宋_GB2312" w:eastAsia="仿宋_GB2312"/>
          <w:sz w:val="32"/>
          <w:lang w:eastAsia="zh-CN"/>
        </w:rPr>
        <w:t>年</w:t>
      </w:r>
      <w:r>
        <w:rPr>
          <w:rFonts w:hint="eastAsia" w:ascii="仿宋_GB2312" w:eastAsia="仿宋_GB2312"/>
          <w:sz w:val="32"/>
          <w:lang w:val="en-US" w:eastAsia="zh-CN"/>
        </w:rPr>
        <w:t>1</w:t>
      </w:r>
      <w:r>
        <w:rPr>
          <w:rFonts w:hint="eastAsia" w:ascii="仿宋_GB2312" w:eastAsia="仿宋_GB2312"/>
          <w:sz w:val="32"/>
          <w:szCs w:val="32"/>
          <w:lang w:eastAsia="zh-CN"/>
        </w:rPr>
        <w:t>月至</w:t>
      </w:r>
      <w:r>
        <w:rPr>
          <w:rFonts w:hint="eastAsia" w:ascii="仿宋_GB2312" w:eastAsia="仿宋_GB2312"/>
          <w:sz w:val="32"/>
          <w:szCs w:val="32"/>
          <w:lang w:val="en-US" w:eastAsia="zh-CN"/>
        </w:rPr>
        <w:t>2019年</w:t>
      </w:r>
      <w:r>
        <w:rPr>
          <w:rFonts w:hint="eastAsia" w:ascii="仿宋_GB2312" w:eastAsia="仿宋_GB2312"/>
          <w:sz w:val="32"/>
          <w:szCs w:val="32"/>
          <w:lang w:eastAsia="zh-CN"/>
        </w:rPr>
        <w:t>12月的生活补贴</w:t>
      </w:r>
      <w:r>
        <w:rPr>
          <w:rFonts w:hint="eastAsia" w:ascii="仿宋_GB2312" w:eastAsia="仿宋_GB2312"/>
          <w:sz w:val="32"/>
          <w:szCs w:val="32"/>
          <w:lang w:val="en-US" w:eastAsia="zh-CN"/>
        </w:rPr>
        <w:t>共计1489500元。</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深入实施人才强区战略，营造全社会创新创业良好环境，激发创新创业活力，构建方便快捷、运行高效的人才服务机制，形成具有区域竞争力的人才发展环境，为奋力谱写经济强区、大美新城、幸福鹿泉的新篇章提供</w:t>
      </w:r>
      <w:r>
        <w:rPr>
          <w:rFonts w:hint="eastAsia" w:ascii="仿宋_GB2312" w:eastAsia="仿宋_GB2312"/>
          <w:sz w:val="32"/>
          <w:szCs w:val="32"/>
        </w:rPr>
        <w:t>强有力的人才支撑。</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根据人才绿卡生活补贴发放情况，反映我区支持、奖励高层次人才、成长型人才和基础型人才情况。</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firstLine="640" w:firstLineChars="200"/>
        <w:jc w:val="both"/>
        <w:rPr>
          <w:rFonts w:hint="eastAsia" w:ascii="楷体_GB2312" w:hAnsi="楷体_GB2312" w:eastAsia="仿宋_GB2312" w:cs="楷体_GB2312"/>
          <w:b w:val="0"/>
          <w:bCs w:val="0"/>
          <w:sz w:val="32"/>
          <w:szCs w:val="32"/>
          <w:lang w:val="en-US" w:eastAsia="zh-CN"/>
        </w:rPr>
      </w:pPr>
      <w:r>
        <w:rPr>
          <w:rFonts w:hint="eastAsia" w:ascii="仿宋_GB2312" w:eastAsia="仿宋_GB2312"/>
          <w:sz w:val="32"/>
          <w:szCs w:val="32"/>
          <w:lang w:val="en-US" w:eastAsia="zh-CN"/>
        </w:rPr>
        <w:t>收集各企事业单位持“A</w:t>
      </w:r>
      <w:r>
        <w:rPr>
          <w:rFonts w:hint="eastAsia" w:ascii="仿宋_GB2312" w:eastAsia="仿宋_GB2312"/>
          <w:sz w:val="32"/>
          <w:szCs w:val="32"/>
        </w:rPr>
        <w:t>卡”</w:t>
      </w:r>
      <w:r>
        <w:rPr>
          <w:rFonts w:hint="eastAsia" w:ascii="仿宋_GB2312" w:eastAsia="仿宋_GB2312"/>
          <w:sz w:val="32"/>
          <w:szCs w:val="32"/>
          <w:lang w:eastAsia="zh-CN"/>
        </w:rPr>
        <w:t>人才领取生活补贴信息表，为持卡人才发放生活补贴。</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1065"/>
        <w:gridCol w:w="2298"/>
        <w:gridCol w:w="720"/>
        <w:gridCol w:w="900"/>
        <w:gridCol w:w="1440"/>
        <w:gridCol w:w="90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绩效指标分类</w:t>
            </w:r>
          </w:p>
        </w:tc>
        <w:tc>
          <w:tcPr>
            <w:tcW w:w="1065"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w:t>
            </w:r>
          </w:p>
        </w:tc>
        <w:tc>
          <w:tcPr>
            <w:tcW w:w="2298"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绩效指标描述</w:t>
            </w:r>
          </w:p>
        </w:tc>
        <w:tc>
          <w:tcPr>
            <w:tcW w:w="3960" w:type="dxa"/>
            <w:gridSpan w:val="4"/>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绩效指标评价标准</w:t>
            </w:r>
          </w:p>
        </w:tc>
        <w:tc>
          <w:tcPr>
            <w:tcW w:w="900"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评价标准确定依据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continue"/>
            <w:noWrap w:val="0"/>
            <w:vAlign w:val="center"/>
          </w:tcPr>
          <w:p>
            <w:pPr>
              <w:spacing w:line="300" w:lineRule="exact"/>
              <w:jc w:val="center"/>
              <w:rPr>
                <w:rFonts w:hint="eastAsia" w:ascii="仿宋_GB2312" w:eastAsia="仿宋_GB2312"/>
                <w:szCs w:val="21"/>
              </w:rPr>
            </w:pPr>
          </w:p>
        </w:tc>
        <w:tc>
          <w:tcPr>
            <w:tcW w:w="1065" w:type="dxa"/>
            <w:vMerge w:val="continue"/>
            <w:noWrap w:val="0"/>
            <w:vAlign w:val="center"/>
          </w:tcPr>
          <w:p>
            <w:pPr>
              <w:spacing w:line="300" w:lineRule="exact"/>
              <w:jc w:val="center"/>
              <w:rPr>
                <w:rFonts w:hint="eastAsia" w:ascii="仿宋_GB2312" w:eastAsia="仿宋_GB2312"/>
                <w:szCs w:val="21"/>
              </w:rPr>
            </w:pPr>
          </w:p>
        </w:tc>
        <w:tc>
          <w:tcPr>
            <w:tcW w:w="2298" w:type="dxa"/>
            <w:vMerge w:val="continue"/>
            <w:noWrap w:val="0"/>
            <w:vAlign w:val="center"/>
          </w:tcPr>
          <w:p>
            <w:pPr>
              <w:spacing w:line="300" w:lineRule="exact"/>
              <w:jc w:val="center"/>
              <w:rPr>
                <w:rFonts w:hint="eastAsia" w:ascii="仿宋_GB2312" w:eastAsia="仿宋_GB2312"/>
                <w:szCs w:val="21"/>
              </w:rPr>
            </w:pPr>
          </w:p>
        </w:tc>
        <w:tc>
          <w:tcPr>
            <w:tcW w:w="72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优</w:t>
            </w:r>
          </w:p>
        </w:tc>
        <w:tc>
          <w:tcPr>
            <w:tcW w:w="90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良</w:t>
            </w:r>
          </w:p>
        </w:tc>
        <w:tc>
          <w:tcPr>
            <w:tcW w:w="144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中</w:t>
            </w:r>
          </w:p>
        </w:tc>
        <w:tc>
          <w:tcPr>
            <w:tcW w:w="90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差</w:t>
            </w:r>
          </w:p>
        </w:tc>
        <w:tc>
          <w:tcPr>
            <w:tcW w:w="900" w:type="dxa"/>
            <w:vMerge w:val="continue"/>
            <w:noWrap w:val="0"/>
            <w:vAlign w:val="center"/>
          </w:tcPr>
          <w:p>
            <w:pPr>
              <w:spacing w:line="3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3" w:hRule="atLeast"/>
        </w:trPr>
        <w:tc>
          <w:tcPr>
            <w:tcW w:w="1065"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rPr>
              <w:t>产出指标</w:t>
            </w:r>
          </w:p>
        </w:tc>
        <w:tc>
          <w:tcPr>
            <w:tcW w:w="1065"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rPr>
              <w:t>人才绿卡</w:t>
            </w:r>
            <w:r>
              <w:rPr>
                <w:rFonts w:hint="eastAsia" w:ascii="仿宋_GB2312" w:eastAsia="仿宋_GB2312"/>
                <w:szCs w:val="21"/>
                <w:lang w:eastAsia="zh-CN"/>
              </w:rPr>
              <w:t>发卡</w:t>
            </w:r>
            <w:r>
              <w:rPr>
                <w:rFonts w:hint="eastAsia" w:ascii="仿宋_GB2312" w:eastAsia="仿宋_GB2312"/>
                <w:szCs w:val="21"/>
              </w:rPr>
              <w:t>数量</w:t>
            </w:r>
          </w:p>
        </w:tc>
        <w:tc>
          <w:tcPr>
            <w:tcW w:w="2298" w:type="dxa"/>
            <w:noWrap w:val="0"/>
            <w:vAlign w:val="center"/>
          </w:tcPr>
          <w:p>
            <w:pPr>
              <w:spacing w:line="300" w:lineRule="exact"/>
              <w:rPr>
                <w:rFonts w:hint="eastAsia" w:ascii="仿宋_GB2312" w:eastAsia="仿宋_GB2312"/>
                <w:szCs w:val="21"/>
              </w:rPr>
            </w:pPr>
            <w:r>
              <w:rPr>
                <w:rFonts w:hint="eastAsia" w:ascii="仿宋_GB2312" w:eastAsia="仿宋_GB2312"/>
                <w:szCs w:val="21"/>
              </w:rPr>
              <w:t>反映我区高层次人才、成长型人才和基础型人才情况</w:t>
            </w:r>
          </w:p>
        </w:tc>
        <w:tc>
          <w:tcPr>
            <w:tcW w:w="720" w:type="dxa"/>
            <w:noWrap w:val="0"/>
            <w:vAlign w:val="center"/>
          </w:tcPr>
          <w:p>
            <w:pPr>
              <w:jc w:val="center"/>
              <w:rPr>
                <w:rFonts w:ascii="宋体" w:hAnsi="宋体" w:cs="宋体"/>
                <w:color w:val="000000"/>
                <w:sz w:val="18"/>
                <w:szCs w:val="18"/>
              </w:rPr>
            </w:pPr>
            <w:r>
              <w:rPr>
                <w:rFonts w:hint="eastAsia"/>
                <w:color w:val="000000"/>
                <w:sz w:val="18"/>
                <w:szCs w:val="18"/>
              </w:rPr>
              <w:t>≥90%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≥80%</w:t>
            </w:r>
          </w:p>
        </w:tc>
        <w:tc>
          <w:tcPr>
            <w:tcW w:w="1440" w:type="dxa"/>
            <w:noWrap w:val="0"/>
            <w:vAlign w:val="center"/>
          </w:tcPr>
          <w:p>
            <w:pPr>
              <w:jc w:val="center"/>
              <w:rPr>
                <w:rFonts w:ascii="宋体" w:hAnsi="宋体" w:cs="宋体"/>
                <w:color w:val="000000"/>
                <w:sz w:val="18"/>
                <w:szCs w:val="18"/>
              </w:rPr>
            </w:pPr>
            <w:r>
              <w:rPr>
                <w:rFonts w:hint="eastAsia"/>
                <w:color w:val="000000"/>
                <w:sz w:val="18"/>
                <w:szCs w:val="18"/>
              </w:rPr>
              <w:t>&lt;80%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&lt;</w:t>
            </w:r>
            <w:r>
              <w:rPr>
                <w:rFonts w:hint="eastAsia"/>
                <w:color w:val="000000"/>
                <w:sz w:val="18"/>
                <w:szCs w:val="18"/>
                <w:lang w:val="en-US" w:eastAsia="zh-CN"/>
              </w:rPr>
              <w:t>70</w:t>
            </w:r>
            <w:r>
              <w:rPr>
                <w:rFonts w:hint="eastAsia"/>
                <w:color w:val="000000"/>
                <w:sz w:val="18"/>
                <w:szCs w:val="18"/>
              </w:rPr>
              <w:t>%</w:t>
            </w:r>
          </w:p>
        </w:tc>
        <w:tc>
          <w:tcPr>
            <w:tcW w:w="900"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lang w:eastAsia="zh-CN"/>
              </w:rPr>
              <w:t>发卡</w:t>
            </w:r>
            <w:r>
              <w:rPr>
                <w:rFonts w:hint="eastAsia" w:ascii="仿宋_GB2312" w:eastAsia="仿宋_GB2312"/>
                <w:szCs w:val="21"/>
              </w:rPr>
              <w:t>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trPr>
        <w:tc>
          <w:tcPr>
            <w:tcW w:w="1065"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rPr>
              <w:t>效果指标</w:t>
            </w:r>
          </w:p>
        </w:tc>
        <w:tc>
          <w:tcPr>
            <w:tcW w:w="1065" w:type="dxa"/>
            <w:noWrap w:val="0"/>
            <w:vAlign w:val="center"/>
          </w:tcPr>
          <w:p>
            <w:pPr>
              <w:spacing w:line="300" w:lineRule="exact"/>
              <w:jc w:val="center"/>
              <w:rPr>
                <w:rFonts w:hint="eastAsia" w:ascii="仿宋_GB2312" w:eastAsia="仿宋_GB2312"/>
                <w:szCs w:val="21"/>
                <w:lang w:eastAsia="zh-CN"/>
              </w:rPr>
            </w:pPr>
            <w:r>
              <w:rPr>
                <w:rFonts w:hint="eastAsia" w:ascii="仿宋_GB2312" w:eastAsia="仿宋_GB2312"/>
                <w:szCs w:val="21"/>
              </w:rPr>
              <w:t>人才绿卡发放</w:t>
            </w:r>
            <w:r>
              <w:rPr>
                <w:rFonts w:hint="eastAsia" w:ascii="仿宋_GB2312" w:eastAsia="仿宋_GB2312"/>
                <w:szCs w:val="21"/>
                <w:lang w:eastAsia="zh-CN"/>
              </w:rPr>
              <w:t>金额</w:t>
            </w:r>
          </w:p>
        </w:tc>
        <w:tc>
          <w:tcPr>
            <w:tcW w:w="2298" w:type="dxa"/>
            <w:noWrap w:val="0"/>
            <w:vAlign w:val="center"/>
          </w:tcPr>
          <w:p>
            <w:pPr>
              <w:spacing w:line="300" w:lineRule="exact"/>
              <w:rPr>
                <w:rFonts w:hint="eastAsia" w:ascii="仿宋_GB2312" w:eastAsia="仿宋_GB2312"/>
                <w:szCs w:val="21"/>
              </w:rPr>
            </w:pPr>
            <w:r>
              <w:rPr>
                <w:rFonts w:hint="eastAsia" w:ascii="仿宋_GB2312" w:eastAsia="仿宋_GB2312"/>
                <w:szCs w:val="21"/>
              </w:rPr>
              <w:t>反映我区支持、奖励高层次人才、成长型人才和基础型人才情况</w:t>
            </w:r>
          </w:p>
        </w:tc>
        <w:tc>
          <w:tcPr>
            <w:tcW w:w="720" w:type="dxa"/>
            <w:noWrap w:val="0"/>
            <w:vAlign w:val="center"/>
          </w:tcPr>
          <w:p>
            <w:pPr>
              <w:jc w:val="center"/>
              <w:rPr>
                <w:rFonts w:ascii="宋体" w:hAnsi="宋体" w:cs="宋体"/>
                <w:color w:val="000000"/>
                <w:sz w:val="18"/>
                <w:szCs w:val="18"/>
              </w:rPr>
            </w:pPr>
            <w:r>
              <w:rPr>
                <w:rFonts w:hint="eastAsia"/>
                <w:color w:val="000000"/>
                <w:sz w:val="18"/>
                <w:szCs w:val="18"/>
              </w:rPr>
              <w:t>≥90%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≥80%</w:t>
            </w:r>
          </w:p>
        </w:tc>
        <w:tc>
          <w:tcPr>
            <w:tcW w:w="1440" w:type="dxa"/>
            <w:noWrap w:val="0"/>
            <w:vAlign w:val="center"/>
          </w:tcPr>
          <w:p>
            <w:pPr>
              <w:jc w:val="center"/>
              <w:rPr>
                <w:rFonts w:ascii="宋体" w:hAnsi="宋体" w:cs="宋体"/>
                <w:color w:val="000000"/>
                <w:sz w:val="18"/>
                <w:szCs w:val="18"/>
              </w:rPr>
            </w:pPr>
            <w:r>
              <w:rPr>
                <w:rFonts w:hint="eastAsia"/>
                <w:color w:val="000000"/>
                <w:sz w:val="18"/>
                <w:szCs w:val="18"/>
              </w:rPr>
              <w:t>&lt;80%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&lt;</w:t>
            </w:r>
            <w:r>
              <w:rPr>
                <w:rFonts w:hint="eastAsia"/>
                <w:color w:val="000000"/>
                <w:sz w:val="18"/>
                <w:szCs w:val="18"/>
                <w:lang w:val="en-US" w:eastAsia="zh-CN"/>
              </w:rPr>
              <w:t>70</w:t>
            </w:r>
            <w:r>
              <w:rPr>
                <w:rFonts w:hint="eastAsia"/>
                <w:color w:val="000000"/>
                <w:sz w:val="18"/>
                <w:szCs w:val="18"/>
              </w:rPr>
              <w:t>%</w:t>
            </w:r>
          </w:p>
        </w:tc>
        <w:tc>
          <w:tcPr>
            <w:tcW w:w="900" w:type="dxa"/>
            <w:noWrap w:val="0"/>
            <w:vAlign w:val="center"/>
          </w:tcPr>
          <w:p>
            <w:pPr>
              <w:spacing w:line="300" w:lineRule="exact"/>
              <w:jc w:val="center"/>
              <w:rPr>
                <w:rFonts w:hint="eastAsia" w:ascii="仿宋_GB2312" w:eastAsia="仿宋_GB2312"/>
                <w:szCs w:val="21"/>
                <w:lang w:eastAsia="zh-CN"/>
              </w:rPr>
            </w:pPr>
            <w:r>
              <w:rPr>
                <w:rFonts w:hint="eastAsia" w:ascii="仿宋_GB2312" w:eastAsia="仿宋_GB2312"/>
                <w:szCs w:val="21"/>
                <w:lang w:eastAsia="zh-CN"/>
              </w:rPr>
              <w:t>发放金额</w:t>
            </w:r>
          </w:p>
        </w:tc>
      </w:tr>
    </w:tbl>
    <w:p>
      <w:pPr>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sz w:val="32"/>
        </w:rPr>
        <w:t>根据区委办公室、区政府办公室《石家庄市鹿泉区建立服务人才发展绿卡制度实施办法（试行）》（</w:t>
      </w:r>
      <w:r>
        <w:rPr>
          <w:rFonts w:hint="eastAsia" w:ascii="仿宋_GB2312" w:hAnsi="宋体" w:eastAsia="仿宋_GB2312" w:cs="方正小标宋简体"/>
          <w:kern w:val="0"/>
          <w:sz w:val="32"/>
          <w:szCs w:val="32"/>
        </w:rPr>
        <w:t>鹿办字</w:t>
      </w:r>
      <w:r>
        <w:rPr>
          <w:rFonts w:hint="eastAsia" w:ascii="仿宋_GB2312" w:hAnsi="宋体" w:eastAsia="仿宋_GB2312"/>
          <w:sz w:val="32"/>
          <w:szCs w:val="32"/>
        </w:rPr>
        <w:t>〔2017〕24</w:t>
      </w:r>
      <w:r>
        <w:rPr>
          <w:rFonts w:hint="eastAsia" w:ascii="仿宋_GB2312" w:hAnsi="宋体" w:eastAsia="仿宋_GB2312" w:cs="宋体"/>
          <w:spacing w:val="24"/>
          <w:kern w:val="0"/>
          <w:sz w:val="32"/>
          <w:szCs w:val="32"/>
        </w:rPr>
        <w:t>号</w:t>
      </w:r>
      <w:r>
        <w:rPr>
          <w:rFonts w:hint="eastAsia" w:ascii="仿宋_GB2312" w:eastAsia="仿宋_GB2312"/>
          <w:sz w:val="32"/>
        </w:rPr>
        <w:t>）规定，</w:t>
      </w:r>
      <w:r>
        <w:rPr>
          <w:rFonts w:hint="eastAsia" w:ascii="仿宋_GB2312" w:eastAsia="仿宋_GB2312"/>
          <w:sz w:val="32"/>
          <w:szCs w:val="32"/>
        </w:rPr>
        <w:t>持“A卡”者根据不同类别可享受每人每月500——5000元不等的生活补贴</w:t>
      </w:r>
      <w:r>
        <w:rPr>
          <w:rFonts w:hint="eastAsia" w:ascii="仿宋_GB2312" w:eastAsia="仿宋_GB2312"/>
          <w:sz w:val="32"/>
          <w:szCs w:val="32"/>
          <w:lang w:eastAsia="zh-CN"/>
        </w:rPr>
        <w:t>。</w:t>
      </w:r>
      <w:r>
        <w:rPr>
          <w:rFonts w:hint="eastAsia" w:ascii="仿宋_GB2312" w:eastAsia="仿宋_GB2312"/>
          <w:sz w:val="32"/>
          <w:szCs w:val="32"/>
          <w:lang w:val="en-US" w:eastAsia="zh-CN"/>
        </w:rPr>
        <w:t>根据生活补贴专款专用率、发放率等绩效指标对项目进行评分，</w:t>
      </w:r>
      <w:r>
        <w:rPr>
          <w:rFonts w:hint="eastAsia" w:ascii="仿宋_GB2312" w:eastAsia="仿宋_GB2312"/>
          <w:b w:val="0"/>
          <w:bCs w:val="0"/>
          <w:sz w:val="32"/>
          <w:szCs w:val="32"/>
          <w:lang w:val="en-US" w:eastAsia="zh-CN"/>
        </w:rPr>
        <w:t>评分分值99分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r>
        <w:rPr>
          <w:rFonts w:hint="eastAsia" w:ascii="仿宋_GB2312" w:eastAsia="仿宋_GB2312"/>
          <w:sz w:val="32"/>
          <w:szCs w:val="32"/>
          <w:lang w:val="en-US" w:eastAsia="zh-CN"/>
        </w:rPr>
        <w:t>持“A</w:t>
      </w:r>
      <w:r>
        <w:rPr>
          <w:rFonts w:hint="eastAsia" w:ascii="仿宋_GB2312" w:eastAsia="仿宋_GB2312"/>
          <w:sz w:val="32"/>
          <w:szCs w:val="32"/>
        </w:rPr>
        <w:t>卡”</w:t>
      </w:r>
      <w:r>
        <w:rPr>
          <w:rFonts w:hint="eastAsia" w:ascii="仿宋_GB2312" w:eastAsia="仿宋_GB2312"/>
          <w:sz w:val="32"/>
          <w:szCs w:val="32"/>
          <w:lang w:eastAsia="zh-CN"/>
        </w:rPr>
        <w:t>人才领取生活补贴</w:t>
      </w:r>
      <w:r>
        <w:rPr>
          <w:rFonts w:hint="eastAsia" w:ascii="仿宋_GB2312" w:eastAsia="仿宋_GB2312"/>
          <w:b w:val="0"/>
          <w:bCs w:val="0"/>
          <w:sz w:val="32"/>
          <w:szCs w:val="32"/>
          <w:lang w:val="en-US" w:eastAsia="zh-CN"/>
        </w:rPr>
        <w:t>每半年发放一次，</w:t>
      </w:r>
      <w:r>
        <w:rPr>
          <w:rFonts w:hint="eastAsia" w:ascii="仿宋_GB2312" w:eastAsia="仿宋_GB2312"/>
          <w:color w:val="auto"/>
          <w:sz w:val="32"/>
          <w:szCs w:val="32"/>
          <w:lang w:val="en-US" w:eastAsia="zh-CN"/>
        </w:rPr>
        <w:t>2019年6月、12月对我区</w:t>
      </w:r>
      <w:r>
        <w:rPr>
          <w:rFonts w:hint="eastAsia" w:ascii="仿宋_GB2312" w:eastAsia="仿宋_GB2312"/>
          <w:sz w:val="32"/>
          <w:szCs w:val="32"/>
        </w:rPr>
        <w:t>持“A卡”</w:t>
      </w:r>
      <w:r>
        <w:rPr>
          <w:rFonts w:hint="eastAsia" w:ascii="仿宋_GB2312" w:eastAsia="仿宋_GB2312"/>
          <w:sz w:val="32"/>
          <w:szCs w:val="32"/>
          <w:lang w:eastAsia="zh-CN"/>
        </w:rPr>
        <w:t>人才</w:t>
      </w:r>
      <w:r>
        <w:rPr>
          <w:rFonts w:hint="eastAsia" w:ascii="仿宋_GB2312" w:eastAsia="仿宋_GB2312"/>
          <w:sz w:val="32"/>
          <w:szCs w:val="32"/>
          <w:lang w:val="en-US" w:eastAsia="zh-CN"/>
        </w:rPr>
        <w:t>发放2019</w:t>
      </w:r>
      <w:r>
        <w:rPr>
          <w:rFonts w:hint="eastAsia" w:ascii="仿宋_GB2312" w:eastAsia="仿宋_GB2312"/>
          <w:sz w:val="32"/>
          <w:szCs w:val="32"/>
        </w:rPr>
        <w:t>年</w:t>
      </w:r>
      <w:r>
        <w:rPr>
          <w:rFonts w:hint="eastAsia" w:ascii="仿宋_GB2312" w:eastAsia="仿宋_GB2312"/>
          <w:sz w:val="32"/>
          <w:szCs w:val="32"/>
          <w:lang w:val="en-US" w:eastAsia="zh-CN"/>
        </w:rPr>
        <w:t>1</w:t>
      </w:r>
      <w:r>
        <w:rPr>
          <w:rFonts w:hint="eastAsia" w:ascii="仿宋_GB2312" w:eastAsia="仿宋_GB2312"/>
          <w:sz w:val="32"/>
          <w:szCs w:val="32"/>
        </w:rPr>
        <w:t>月至</w:t>
      </w:r>
      <w:r>
        <w:rPr>
          <w:rFonts w:hint="eastAsia" w:ascii="仿宋_GB2312" w:eastAsia="仿宋_GB2312"/>
          <w:sz w:val="32"/>
          <w:szCs w:val="32"/>
          <w:lang w:val="en-US" w:eastAsia="zh-CN"/>
        </w:rPr>
        <w:t>2019年</w:t>
      </w:r>
      <w:r>
        <w:rPr>
          <w:rFonts w:hint="eastAsia" w:ascii="仿宋_GB2312" w:eastAsia="仿宋_GB2312"/>
          <w:sz w:val="32"/>
          <w:szCs w:val="32"/>
        </w:rPr>
        <w:t>12月</w:t>
      </w:r>
      <w:r>
        <w:rPr>
          <w:rFonts w:hint="eastAsia" w:ascii="仿宋_GB2312" w:eastAsia="仿宋_GB2312"/>
          <w:sz w:val="32"/>
          <w:szCs w:val="32"/>
          <w:lang w:eastAsia="zh-CN"/>
        </w:rPr>
        <w:t>的</w:t>
      </w:r>
      <w:r>
        <w:rPr>
          <w:rFonts w:hint="eastAsia" w:ascii="仿宋_GB2312" w:eastAsia="仿宋_GB2312"/>
          <w:sz w:val="32"/>
          <w:szCs w:val="32"/>
        </w:rPr>
        <w:t>生活补贴</w:t>
      </w:r>
      <w:r>
        <w:rPr>
          <w:rFonts w:hint="eastAsia" w:ascii="仿宋_GB2312" w:hAnsi="仿宋_GB2312" w:eastAsia="仿宋_GB2312" w:cs="仿宋_GB2312"/>
          <w:color w:val="auto"/>
          <w:sz w:val="32"/>
          <w:szCs w:val="32"/>
          <w:lang w:val="en-US" w:eastAsia="zh-CN"/>
        </w:rPr>
        <w:t>共计</w:t>
      </w:r>
      <w:r>
        <w:rPr>
          <w:rFonts w:hint="eastAsia" w:ascii="仿宋_GB2312" w:eastAsia="仿宋_GB2312"/>
          <w:sz w:val="32"/>
          <w:szCs w:val="32"/>
          <w:lang w:val="en-US" w:eastAsia="zh-CN"/>
        </w:rPr>
        <w:t>1489500元，</w:t>
      </w:r>
      <w:r>
        <w:rPr>
          <w:rFonts w:hint="eastAsia" w:ascii="仿宋_GB2312" w:eastAsia="仿宋_GB2312"/>
          <w:b w:val="0"/>
          <w:bCs w:val="0"/>
          <w:sz w:val="32"/>
          <w:szCs w:val="32"/>
          <w:lang w:val="en-US" w:eastAsia="zh-CN"/>
        </w:rPr>
        <w:t>根据指标体系评分标准计算分值是99分。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snapToGrid/>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对项目的实际完成率、完成及时率等情况进行分析后，根据指标体系评分标准计算分值为99分。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对项目的经济效益、社会效益、生态效益、可持续影响和社会公众或服务对象满意度等情况进行分析后，根据指标体系评分标准计算分值是99分。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left="638" w:leftChars="304" w:firstLine="0" w:firstLineChars="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r>
        <w:rPr>
          <w:rFonts w:hint="eastAsia" w:ascii="黑体" w:hAnsi="黑体" w:eastAsia="黑体"/>
          <w:b w:val="0"/>
          <w:bCs w:val="0"/>
          <w:sz w:val="32"/>
          <w:szCs w:val="32"/>
          <w:lang w:val="en-US" w:eastAsia="zh-CN"/>
        </w:rPr>
        <w:t>五、存在的问题及改进措施</w:t>
      </w:r>
    </w:p>
    <w:p>
      <w:pPr>
        <w:numPr>
          <w:ilvl w:val="0"/>
          <w:numId w:val="2"/>
        </w:numPr>
        <w:ind w:left="481"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项目存在的主要问题</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各企业</w:t>
      </w:r>
      <w:bookmarkStart w:id="0" w:name="_GoBack"/>
      <w:bookmarkEnd w:id="0"/>
      <w:r>
        <w:rPr>
          <w:rFonts w:hint="eastAsia" w:ascii="仿宋_GB2312" w:eastAsia="仿宋_GB2312"/>
          <w:b w:val="0"/>
          <w:bCs w:val="0"/>
          <w:sz w:val="32"/>
          <w:szCs w:val="32"/>
          <w:lang w:val="en-US" w:eastAsia="zh-CN"/>
        </w:rPr>
        <w:t>持卡人存在外出公差或者使用银行借记卡未开通状态，生活补助不能及时发放的问题。</w:t>
      </w:r>
    </w:p>
    <w:p>
      <w:pPr>
        <w:numPr>
          <w:ilvl w:val="0"/>
          <w:numId w:val="2"/>
        </w:numPr>
        <w:ind w:left="481"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仿宋_GB2312" w:eastAsia="仿宋_GB2312"/>
          <w:b w:val="0"/>
          <w:bCs w:val="0"/>
          <w:sz w:val="32"/>
          <w:szCs w:val="32"/>
          <w:lang w:val="en-US" w:eastAsia="zh-CN"/>
        </w:rPr>
        <w:t>要求各企业统一收集持“A卡”人才银行信息，并及时更新，确保每位持卡人才生活补助能在规定的时间内按时发放到位。</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rPr>
          <w:rFonts w:hint="default" w:ascii="仿宋_GB2312" w:eastAsia="仿宋_GB2312"/>
          <w:sz w:val="32"/>
          <w:szCs w:val="32"/>
          <w:lang w:val="en-US" w:eastAsia="zh-CN"/>
        </w:rPr>
      </w:pPr>
      <w:r>
        <w:rPr>
          <w:rFonts w:hint="eastAsia" w:ascii="仿宋_GB2312" w:eastAsia="仿宋_GB2312"/>
          <w:sz w:val="32"/>
          <w:szCs w:val="32"/>
          <w:lang w:val="en-US" w:eastAsia="zh-CN"/>
        </w:rPr>
        <w:t>付志勇  区委组织部  副部长</w:t>
      </w:r>
    </w:p>
    <w:p>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王佳佳  区委组织部  人才工作科负责人</w:t>
      </w:r>
    </w:p>
    <w:p>
      <w:pPr>
        <w:ind w:firstLine="640"/>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
      <w:pPr>
        <w:ind w:firstLine="640"/>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BE7653"/>
    <w:multiLevelType w:val="singleLevel"/>
    <w:tmpl w:val="E3BE7653"/>
    <w:lvl w:ilvl="0" w:tentative="0">
      <w:start w:val="2"/>
      <w:numFmt w:val="chineseCounting"/>
      <w:suff w:val="nothing"/>
      <w:lvlText w:val="（%1）"/>
      <w:lvlJc w:val="left"/>
      <w:pPr>
        <w:ind w:left="481" w:leftChars="0" w:firstLine="0" w:firstLineChars="0"/>
      </w:pPr>
      <w:rPr>
        <w:rFonts w:hint="eastAsia"/>
      </w:rPr>
    </w:lvl>
  </w:abstractNum>
  <w:abstractNum w:abstractNumId="1">
    <w:nsid w:val="37CADFF0"/>
    <w:multiLevelType w:val="singleLevel"/>
    <w:tmpl w:val="37CADFF0"/>
    <w:lvl w:ilvl="0" w:tentative="0">
      <w:start w:val="1"/>
      <w:numFmt w:val="chineseCounting"/>
      <w:suff w:val="nothing"/>
      <w:lvlText w:val="（%1）"/>
      <w:lvlJc w:val="left"/>
      <w:pPr>
        <w:ind w:left="481"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09C7D6D"/>
    <w:rsid w:val="1C26474A"/>
    <w:rsid w:val="1E6F220D"/>
    <w:rsid w:val="207E7F0E"/>
    <w:rsid w:val="29BC1F68"/>
    <w:rsid w:val="2A2941B7"/>
    <w:rsid w:val="3A486779"/>
    <w:rsid w:val="3E9D78EB"/>
    <w:rsid w:val="4A4C0792"/>
    <w:rsid w:val="512F5FAB"/>
    <w:rsid w:val="550F3C40"/>
    <w:rsid w:val="63034197"/>
    <w:rsid w:val="749F4533"/>
    <w:rsid w:val="7BAD6B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阳光微凉</cp:lastModifiedBy>
  <dcterms:modified xsi:type="dcterms:W3CDTF">2020-01-07T09:11:52Z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