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adjustRightInd w:val="0"/>
        <w:snapToGrid w:val="0"/>
        <w:spacing w:line="360" w:lineRule="auto"/>
        <w:ind w:firstLine="723" w:firstLineChars="200"/>
        <w:jc w:val="center"/>
        <w:rPr>
          <w:rFonts w:hint="eastAsia" w:ascii="宋体"/>
          <w:b/>
          <w:bCs/>
          <w:sz w:val="36"/>
          <w:szCs w:val="32"/>
        </w:rPr>
      </w:pPr>
      <w:r>
        <w:rPr>
          <w:rFonts w:hint="eastAsia" w:ascii="宋体"/>
          <w:b/>
          <w:bCs/>
          <w:sz w:val="36"/>
          <w:szCs w:val="32"/>
          <w:lang w:eastAsia="zh-CN"/>
        </w:rPr>
        <w:t>人才绿卡</w:t>
      </w:r>
      <w:r>
        <w:rPr>
          <w:rFonts w:hint="eastAsia" w:ascii="宋体"/>
          <w:b/>
          <w:bCs/>
          <w:sz w:val="36"/>
          <w:szCs w:val="32"/>
          <w:lang w:val="en-US" w:eastAsia="zh-CN"/>
        </w:rPr>
        <w:t>房租补贴</w:t>
      </w:r>
      <w:r>
        <w:rPr>
          <w:rFonts w:hint="eastAsia" w:ascii="宋体"/>
          <w:b/>
          <w:bCs/>
          <w:sz w:val="36"/>
          <w:szCs w:val="32"/>
          <w:lang w:eastAsia="zh-CN"/>
        </w:rPr>
        <w:t>项目</w:t>
      </w:r>
      <w:r>
        <w:rPr>
          <w:rFonts w:hint="eastAsia" w:ascii="宋体"/>
          <w:b/>
          <w:bCs/>
          <w:sz w:val="36"/>
          <w:szCs w:val="32"/>
        </w:rPr>
        <w:t>绩效评价报告</w:t>
      </w: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人才绿卡生活补贴项目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1.</w:t>
      </w:r>
      <w:r>
        <w:rPr>
          <w:rFonts w:hint="eastAsia" w:ascii="仿宋_GB2312" w:eastAsia="仿宋_GB2312"/>
          <w:sz w:val="32"/>
          <w:szCs w:val="32"/>
          <w:lang w:eastAsia="zh-CN"/>
        </w:rPr>
        <w:t>项目实施单位：区委组织部人才工作科。</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2.项目主要实施内容和范围：</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lang w:eastAsia="zh-CN"/>
        </w:rPr>
        <w:t>根据中共石家庄市鹿泉区委、石家庄市鹿泉区人民政府关于印发《石家庄市鹿泉区人才绿卡（</w:t>
      </w:r>
      <w:r>
        <w:rPr>
          <w:rFonts w:hint="eastAsia" w:ascii="仿宋_GB2312" w:eastAsia="仿宋_GB2312"/>
          <w:sz w:val="32"/>
          <w:lang w:val="en-US" w:eastAsia="zh-CN"/>
        </w:rPr>
        <w:t>C卡）管理办法（试行）》的通知</w:t>
      </w:r>
      <w:r>
        <w:rPr>
          <w:rFonts w:hint="eastAsia" w:ascii="仿宋_GB2312" w:eastAsia="仿宋_GB2312"/>
          <w:sz w:val="32"/>
        </w:rPr>
        <w:t>（</w:t>
      </w:r>
      <w:r>
        <w:rPr>
          <w:rFonts w:hint="eastAsia" w:ascii="仿宋_GB2312" w:hAnsi="宋体" w:eastAsia="仿宋_GB2312" w:cs="方正小标宋简体"/>
          <w:kern w:val="0"/>
          <w:sz w:val="32"/>
          <w:szCs w:val="32"/>
        </w:rPr>
        <w:t>鹿字</w:t>
      </w:r>
      <w:r>
        <w:rPr>
          <w:rFonts w:hint="eastAsia" w:ascii="仿宋_GB2312" w:hAnsi="宋体" w:eastAsia="仿宋_GB2312"/>
          <w:sz w:val="32"/>
          <w:szCs w:val="32"/>
        </w:rPr>
        <w:t>〔2017〕4</w:t>
      </w:r>
      <w:r>
        <w:rPr>
          <w:rFonts w:hint="eastAsia" w:ascii="仿宋_GB2312" w:hAnsi="宋体" w:eastAsia="仿宋_GB2312"/>
          <w:sz w:val="32"/>
          <w:szCs w:val="32"/>
          <w:lang w:val="en-US" w:eastAsia="zh-CN"/>
        </w:rPr>
        <w:t>1</w:t>
      </w:r>
      <w:r>
        <w:rPr>
          <w:rFonts w:hint="eastAsia" w:ascii="仿宋_GB2312" w:hAnsi="宋体" w:eastAsia="仿宋_GB2312" w:cs="宋体"/>
          <w:spacing w:val="24"/>
          <w:kern w:val="0"/>
          <w:sz w:val="32"/>
          <w:szCs w:val="32"/>
        </w:rPr>
        <w:t>号</w:t>
      </w:r>
      <w:r>
        <w:rPr>
          <w:rFonts w:hint="eastAsia" w:ascii="仿宋_GB2312" w:eastAsia="仿宋_GB2312"/>
          <w:sz w:val="32"/>
        </w:rPr>
        <w:t>）</w:t>
      </w:r>
      <w:r>
        <w:rPr>
          <w:rFonts w:hint="eastAsia" w:ascii="仿宋_GB2312" w:eastAsia="仿宋_GB2312"/>
          <w:sz w:val="32"/>
          <w:lang w:eastAsia="zh-CN"/>
        </w:rPr>
        <w:t>规定，“</w:t>
      </w:r>
      <w:r>
        <w:rPr>
          <w:rFonts w:hint="eastAsia" w:ascii="仿宋_GB2312" w:eastAsia="仿宋_GB2312"/>
          <w:sz w:val="32"/>
          <w:szCs w:val="32"/>
        </w:rPr>
        <w:t>引进的全日制硕士学位研究生、大学本科一批录取的高校全日制学士学位毕业生、中级职称及以上专业技术人员和紧缺工种技师，可享受每年6000元房租补贴，引进的其他全日制学士学位毕业生，可享受每年3000元的房租补贴</w:t>
      </w:r>
      <w:r>
        <w:rPr>
          <w:rFonts w:hint="eastAsia" w:ascii="仿宋_GB2312" w:eastAsia="仿宋_GB2312"/>
          <w:sz w:val="32"/>
          <w:szCs w:val="32"/>
          <w:lang w:eastAsia="zh-CN"/>
        </w:rPr>
        <w:t>”，发放期限为自发卡之日起</w:t>
      </w:r>
      <w:r>
        <w:rPr>
          <w:rFonts w:hint="eastAsia" w:ascii="仿宋_GB2312" w:eastAsia="仿宋_GB2312"/>
          <w:sz w:val="32"/>
          <w:szCs w:val="32"/>
          <w:lang w:val="en-US" w:eastAsia="zh-CN"/>
        </w:rPr>
        <w:t>五</w:t>
      </w:r>
      <w:r>
        <w:rPr>
          <w:rFonts w:hint="eastAsia" w:ascii="仿宋_GB2312" w:eastAsia="仿宋_GB2312"/>
          <w:sz w:val="32"/>
          <w:szCs w:val="32"/>
          <w:lang w:eastAsia="zh-CN"/>
        </w:rPr>
        <w:t>年，</w:t>
      </w:r>
      <w:r>
        <w:rPr>
          <w:rFonts w:hint="eastAsia" w:ascii="仿宋_GB2312" w:eastAsia="仿宋_GB2312"/>
          <w:sz w:val="32"/>
          <w:szCs w:val="32"/>
          <w:lang w:val="en-US" w:eastAsia="zh-CN"/>
        </w:rPr>
        <w:t>2019年</w:t>
      </w:r>
      <w:r>
        <w:rPr>
          <w:rFonts w:hint="eastAsia" w:ascii="仿宋_GB2312" w:eastAsia="仿宋_GB2312"/>
          <w:sz w:val="32"/>
          <w:szCs w:val="32"/>
          <w:lang w:eastAsia="zh-CN"/>
        </w:rPr>
        <w:t>共计发放</w:t>
      </w:r>
      <w:r>
        <w:rPr>
          <w:rFonts w:hint="eastAsia" w:ascii="仿宋_GB2312" w:eastAsia="仿宋_GB2312"/>
          <w:sz w:val="32"/>
          <w:szCs w:val="32"/>
          <w:lang w:val="en-US" w:eastAsia="zh-CN"/>
        </w:rPr>
        <w:t>4596500元。</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3.项目资金投入情况：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2019年6月、9月、12月对我区</w:t>
      </w:r>
      <w:r>
        <w:rPr>
          <w:rFonts w:hint="eastAsia" w:ascii="仿宋_GB2312" w:eastAsia="仿宋_GB2312"/>
          <w:sz w:val="32"/>
          <w:szCs w:val="32"/>
          <w:lang w:eastAsia="zh-CN"/>
        </w:rPr>
        <w:t>持“</w:t>
      </w:r>
      <w:r>
        <w:rPr>
          <w:rFonts w:hint="eastAsia" w:ascii="仿宋_GB2312" w:eastAsia="仿宋_GB2312"/>
          <w:sz w:val="32"/>
          <w:szCs w:val="32"/>
          <w:lang w:val="en-US" w:eastAsia="zh-CN"/>
        </w:rPr>
        <w:t>C</w:t>
      </w:r>
      <w:r>
        <w:rPr>
          <w:rFonts w:hint="eastAsia" w:ascii="仿宋_GB2312" w:eastAsia="仿宋_GB2312"/>
          <w:sz w:val="32"/>
          <w:szCs w:val="32"/>
          <w:lang w:eastAsia="zh-CN"/>
        </w:rPr>
        <w:t>卡”人才</w:t>
      </w:r>
      <w:r>
        <w:rPr>
          <w:rFonts w:hint="eastAsia" w:ascii="仿宋_GB2312" w:eastAsia="仿宋_GB2312"/>
          <w:sz w:val="32"/>
          <w:szCs w:val="32"/>
          <w:lang w:val="en-US" w:eastAsia="zh-CN"/>
        </w:rPr>
        <w:t>发放房租补助共计4596500元。</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（二）项目预期绩效目标</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深入实施人才强区战略，营造全社会创新创业良好环境，激发创新创业活力，构建方便快捷、运行高效的人才服务机制，形成具有区域竞争力的人才发展环境，为奋力谱</w:t>
      </w:r>
      <w:r>
        <w:rPr>
          <w:rFonts w:hint="eastAsia" w:ascii="仿宋_GB2312" w:eastAsia="仿宋_GB2312"/>
          <w:sz w:val="32"/>
          <w:szCs w:val="32"/>
        </w:rPr>
        <w:t>写经济强区、大美新城、幸福鹿泉的新篇章提供强有力的人才支撑。</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根据人才绿卡生活补贴发放情况，反映我区支持、奖励高层次人才、成长型人才和基础型人才情况。</w:t>
      </w:r>
    </w:p>
    <w:p>
      <w:pPr>
        <w:numPr>
          <w:ilvl w:val="0"/>
          <w:numId w:val="1"/>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right="0" w:rightChars="0" w:firstLine="640" w:firstLineChars="200"/>
        <w:jc w:val="both"/>
        <w:rPr>
          <w:rFonts w:hint="eastAsia" w:ascii="楷体_GB2312" w:hAnsi="楷体_GB2312" w:eastAsia="仿宋_GB2312" w:cs="楷体_GB2312"/>
          <w:b w:val="0"/>
          <w:bCs w:val="0"/>
          <w:sz w:val="32"/>
          <w:szCs w:val="32"/>
          <w:lang w:val="en-US" w:eastAsia="zh-CN"/>
        </w:rPr>
      </w:pPr>
      <w:r>
        <w:rPr>
          <w:rFonts w:hint="eastAsia" w:ascii="仿宋_GB2312" w:eastAsia="仿宋_GB2312"/>
          <w:sz w:val="32"/>
          <w:szCs w:val="32"/>
          <w:lang w:val="en-US" w:eastAsia="zh-CN"/>
        </w:rPr>
        <w:t>收集各企事业单位持“C</w:t>
      </w:r>
      <w:r>
        <w:rPr>
          <w:rFonts w:hint="eastAsia" w:ascii="仿宋_GB2312" w:eastAsia="仿宋_GB2312"/>
          <w:sz w:val="32"/>
          <w:szCs w:val="32"/>
        </w:rPr>
        <w:t>卡”</w:t>
      </w:r>
      <w:r>
        <w:rPr>
          <w:rFonts w:hint="eastAsia" w:ascii="仿宋_GB2312" w:eastAsia="仿宋_GB2312"/>
          <w:sz w:val="32"/>
          <w:szCs w:val="32"/>
          <w:lang w:eastAsia="zh-CN"/>
        </w:rPr>
        <w:t>人才领取</w:t>
      </w:r>
      <w:r>
        <w:rPr>
          <w:rFonts w:hint="eastAsia" w:ascii="仿宋_GB2312" w:eastAsia="仿宋_GB2312"/>
          <w:sz w:val="32"/>
          <w:szCs w:val="32"/>
          <w:lang w:val="en-US" w:eastAsia="zh-CN"/>
        </w:rPr>
        <w:t>房租补助</w:t>
      </w:r>
      <w:r>
        <w:rPr>
          <w:rFonts w:hint="eastAsia" w:ascii="仿宋_GB2312" w:eastAsia="仿宋_GB2312"/>
          <w:sz w:val="32"/>
          <w:szCs w:val="32"/>
          <w:lang w:eastAsia="zh-CN"/>
        </w:rPr>
        <w:t>信息表，为持卡人才发放</w:t>
      </w:r>
      <w:r>
        <w:rPr>
          <w:rFonts w:hint="eastAsia" w:ascii="仿宋_GB2312" w:eastAsia="仿宋_GB2312"/>
          <w:sz w:val="32"/>
          <w:szCs w:val="32"/>
          <w:lang w:val="en-US" w:eastAsia="zh-CN"/>
        </w:rPr>
        <w:t>房租补贴</w:t>
      </w:r>
      <w:r>
        <w:rPr>
          <w:rFonts w:hint="eastAsia" w:ascii="仿宋_GB2312" w:eastAsia="仿宋_GB2312"/>
          <w:sz w:val="32"/>
          <w:szCs w:val="32"/>
          <w:lang w:eastAsia="zh-CN"/>
        </w:rPr>
        <w:t>。</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5"/>
        <w:gridCol w:w="1065"/>
        <w:gridCol w:w="2298"/>
        <w:gridCol w:w="720"/>
        <w:gridCol w:w="900"/>
        <w:gridCol w:w="1440"/>
        <w:gridCol w:w="900"/>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vMerge w:val="restart"/>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绩效指标分类</w:t>
            </w:r>
          </w:p>
        </w:tc>
        <w:tc>
          <w:tcPr>
            <w:tcW w:w="1065" w:type="dxa"/>
            <w:vMerge w:val="restart"/>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绩效指标</w:t>
            </w:r>
          </w:p>
        </w:tc>
        <w:tc>
          <w:tcPr>
            <w:tcW w:w="2298" w:type="dxa"/>
            <w:vMerge w:val="restart"/>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绩效指标描述</w:t>
            </w:r>
          </w:p>
        </w:tc>
        <w:tc>
          <w:tcPr>
            <w:tcW w:w="3960" w:type="dxa"/>
            <w:gridSpan w:val="4"/>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绩效指标评价标准</w:t>
            </w:r>
          </w:p>
        </w:tc>
        <w:tc>
          <w:tcPr>
            <w:tcW w:w="900" w:type="dxa"/>
            <w:vMerge w:val="restart"/>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评价标准确定依据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vMerge w:val="continue"/>
            <w:noWrap w:val="0"/>
            <w:vAlign w:val="center"/>
          </w:tcPr>
          <w:p>
            <w:pPr>
              <w:spacing w:line="300" w:lineRule="exact"/>
              <w:jc w:val="center"/>
              <w:rPr>
                <w:rFonts w:hint="eastAsia" w:ascii="仿宋_GB2312" w:eastAsia="仿宋_GB2312"/>
                <w:szCs w:val="21"/>
              </w:rPr>
            </w:pPr>
          </w:p>
        </w:tc>
        <w:tc>
          <w:tcPr>
            <w:tcW w:w="1065" w:type="dxa"/>
            <w:vMerge w:val="continue"/>
            <w:noWrap w:val="0"/>
            <w:vAlign w:val="center"/>
          </w:tcPr>
          <w:p>
            <w:pPr>
              <w:spacing w:line="300" w:lineRule="exact"/>
              <w:jc w:val="center"/>
              <w:rPr>
                <w:rFonts w:hint="eastAsia" w:ascii="仿宋_GB2312" w:eastAsia="仿宋_GB2312"/>
                <w:szCs w:val="21"/>
              </w:rPr>
            </w:pPr>
          </w:p>
        </w:tc>
        <w:tc>
          <w:tcPr>
            <w:tcW w:w="2298" w:type="dxa"/>
            <w:vMerge w:val="continue"/>
            <w:noWrap w:val="0"/>
            <w:vAlign w:val="center"/>
          </w:tcPr>
          <w:p>
            <w:pPr>
              <w:spacing w:line="300" w:lineRule="exact"/>
              <w:jc w:val="center"/>
              <w:rPr>
                <w:rFonts w:hint="eastAsia" w:ascii="仿宋_GB2312" w:eastAsia="仿宋_GB2312"/>
                <w:szCs w:val="21"/>
              </w:rPr>
            </w:pPr>
          </w:p>
        </w:tc>
        <w:tc>
          <w:tcPr>
            <w:tcW w:w="720" w:type="dxa"/>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优</w:t>
            </w:r>
          </w:p>
        </w:tc>
        <w:tc>
          <w:tcPr>
            <w:tcW w:w="900" w:type="dxa"/>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良</w:t>
            </w:r>
          </w:p>
        </w:tc>
        <w:tc>
          <w:tcPr>
            <w:tcW w:w="1440" w:type="dxa"/>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中</w:t>
            </w:r>
          </w:p>
        </w:tc>
        <w:tc>
          <w:tcPr>
            <w:tcW w:w="900" w:type="dxa"/>
            <w:noWrap w:val="0"/>
            <w:vAlign w:val="center"/>
          </w:tcPr>
          <w:p>
            <w:pPr>
              <w:spacing w:line="300" w:lineRule="exact"/>
              <w:jc w:val="center"/>
              <w:rPr>
                <w:rFonts w:hint="eastAsia" w:ascii="仿宋_GB2312" w:eastAsia="仿宋_GB2312"/>
                <w:b/>
                <w:szCs w:val="21"/>
              </w:rPr>
            </w:pPr>
            <w:r>
              <w:rPr>
                <w:rFonts w:hint="eastAsia" w:ascii="仿宋_GB2312" w:eastAsia="仿宋_GB2312"/>
                <w:b/>
                <w:szCs w:val="21"/>
              </w:rPr>
              <w:t>差</w:t>
            </w:r>
          </w:p>
        </w:tc>
        <w:tc>
          <w:tcPr>
            <w:tcW w:w="900" w:type="dxa"/>
            <w:vMerge w:val="continue"/>
            <w:noWrap w:val="0"/>
            <w:vAlign w:val="center"/>
          </w:tcPr>
          <w:p>
            <w:pPr>
              <w:spacing w:line="300" w:lineRule="exact"/>
              <w:jc w:val="center"/>
              <w:rPr>
                <w:rFonts w:hint="eastAsia"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3" w:hRule="atLeast"/>
        </w:trPr>
        <w:tc>
          <w:tcPr>
            <w:tcW w:w="1065" w:type="dxa"/>
            <w:noWrap w:val="0"/>
            <w:vAlign w:val="center"/>
          </w:tcPr>
          <w:p>
            <w:pPr>
              <w:spacing w:line="300" w:lineRule="exact"/>
              <w:jc w:val="center"/>
              <w:rPr>
                <w:rFonts w:hint="eastAsia" w:ascii="仿宋_GB2312" w:eastAsia="仿宋_GB2312"/>
                <w:szCs w:val="21"/>
              </w:rPr>
            </w:pPr>
            <w:r>
              <w:rPr>
                <w:rFonts w:hint="eastAsia" w:ascii="仿宋_GB2312" w:eastAsia="仿宋_GB2312"/>
                <w:szCs w:val="21"/>
              </w:rPr>
              <w:t>产出指标</w:t>
            </w:r>
          </w:p>
        </w:tc>
        <w:tc>
          <w:tcPr>
            <w:tcW w:w="1065" w:type="dxa"/>
            <w:noWrap w:val="0"/>
            <w:vAlign w:val="center"/>
          </w:tcPr>
          <w:p>
            <w:pPr>
              <w:spacing w:line="300" w:lineRule="exact"/>
              <w:jc w:val="center"/>
              <w:rPr>
                <w:rFonts w:hint="eastAsia" w:ascii="仿宋_GB2312" w:eastAsia="仿宋_GB2312"/>
                <w:szCs w:val="21"/>
              </w:rPr>
            </w:pPr>
            <w:r>
              <w:rPr>
                <w:rFonts w:hint="eastAsia" w:ascii="仿宋_GB2312" w:eastAsia="仿宋_GB2312"/>
                <w:szCs w:val="21"/>
              </w:rPr>
              <w:t>人才绿卡</w:t>
            </w:r>
            <w:r>
              <w:rPr>
                <w:rFonts w:hint="eastAsia" w:ascii="仿宋_GB2312" w:eastAsia="仿宋_GB2312"/>
                <w:szCs w:val="21"/>
                <w:lang w:eastAsia="zh-CN"/>
              </w:rPr>
              <w:t>发卡</w:t>
            </w:r>
            <w:r>
              <w:rPr>
                <w:rFonts w:hint="eastAsia" w:ascii="仿宋_GB2312" w:eastAsia="仿宋_GB2312"/>
                <w:szCs w:val="21"/>
              </w:rPr>
              <w:t>数量</w:t>
            </w:r>
          </w:p>
        </w:tc>
        <w:tc>
          <w:tcPr>
            <w:tcW w:w="2298" w:type="dxa"/>
            <w:noWrap w:val="0"/>
            <w:vAlign w:val="center"/>
          </w:tcPr>
          <w:p>
            <w:pPr>
              <w:spacing w:line="300" w:lineRule="exact"/>
              <w:rPr>
                <w:rFonts w:hint="eastAsia" w:ascii="仿宋_GB2312" w:eastAsia="仿宋_GB2312"/>
                <w:szCs w:val="21"/>
              </w:rPr>
            </w:pPr>
            <w:r>
              <w:rPr>
                <w:rFonts w:hint="eastAsia" w:ascii="仿宋_GB2312" w:eastAsia="仿宋_GB2312"/>
                <w:szCs w:val="21"/>
              </w:rPr>
              <w:t>反映我区高层次人才、成长型人才和基础型人才情况</w:t>
            </w:r>
          </w:p>
        </w:tc>
        <w:tc>
          <w:tcPr>
            <w:tcW w:w="720" w:type="dxa"/>
            <w:noWrap w:val="0"/>
            <w:vAlign w:val="center"/>
          </w:tcPr>
          <w:p>
            <w:pPr>
              <w:jc w:val="center"/>
              <w:rPr>
                <w:rFonts w:ascii="宋体" w:hAnsi="宋体" w:cs="宋体"/>
                <w:color w:val="000000"/>
                <w:sz w:val="18"/>
                <w:szCs w:val="18"/>
              </w:rPr>
            </w:pPr>
            <w:r>
              <w:rPr>
                <w:rFonts w:hint="eastAsia"/>
                <w:color w:val="000000"/>
                <w:sz w:val="18"/>
                <w:szCs w:val="18"/>
              </w:rPr>
              <w:t>≥90%</w:t>
            </w:r>
          </w:p>
        </w:tc>
        <w:tc>
          <w:tcPr>
            <w:tcW w:w="900" w:type="dxa"/>
            <w:noWrap w:val="0"/>
            <w:vAlign w:val="center"/>
          </w:tcPr>
          <w:p>
            <w:pPr>
              <w:jc w:val="center"/>
              <w:rPr>
                <w:rFonts w:ascii="宋体" w:hAnsi="宋体" w:cs="宋体"/>
                <w:color w:val="000000"/>
                <w:sz w:val="18"/>
                <w:szCs w:val="18"/>
              </w:rPr>
            </w:pPr>
            <w:r>
              <w:rPr>
                <w:rFonts w:hint="eastAsia"/>
                <w:color w:val="000000"/>
                <w:sz w:val="18"/>
                <w:szCs w:val="18"/>
              </w:rPr>
              <w:t>≥80%</w:t>
            </w:r>
          </w:p>
        </w:tc>
        <w:tc>
          <w:tcPr>
            <w:tcW w:w="1440" w:type="dxa"/>
            <w:noWrap w:val="0"/>
            <w:vAlign w:val="center"/>
          </w:tcPr>
          <w:p>
            <w:pPr>
              <w:jc w:val="center"/>
              <w:rPr>
                <w:rFonts w:ascii="宋体" w:hAnsi="宋体" w:cs="宋体"/>
                <w:color w:val="000000"/>
                <w:sz w:val="18"/>
                <w:szCs w:val="18"/>
              </w:rPr>
            </w:pPr>
            <w:r>
              <w:rPr>
                <w:rFonts w:hint="eastAsia"/>
                <w:color w:val="000000"/>
                <w:sz w:val="18"/>
                <w:szCs w:val="18"/>
              </w:rPr>
              <w:t>&lt;80%</w:t>
            </w:r>
          </w:p>
        </w:tc>
        <w:tc>
          <w:tcPr>
            <w:tcW w:w="900" w:type="dxa"/>
            <w:noWrap w:val="0"/>
            <w:vAlign w:val="center"/>
          </w:tcPr>
          <w:p>
            <w:pPr>
              <w:jc w:val="center"/>
              <w:rPr>
                <w:rFonts w:ascii="宋体" w:hAnsi="宋体" w:cs="宋体"/>
                <w:color w:val="000000"/>
                <w:sz w:val="18"/>
                <w:szCs w:val="18"/>
              </w:rPr>
            </w:pPr>
            <w:r>
              <w:rPr>
                <w:rFonts w:hint="eastAsia"/>
                <w:color w:val="000000"/>
                <w:sz w:val="18"/>
                <w:szCs w:val="18"/>
              </w:rPr>
              <w:t>&lt;</w:t>
            </w:r>
            <w:r>
              <w:rPr>
                <w:rFonts w:hint="eastAsia"/>
                <w:color w:val="000000"/>
                <w:sz w:val="18"/>
                <w:szCs w:val="18"/>
                <w:lang w:val="en-US" w:eastAsia="zh-CN"/>
              </w:rPr>
              <w:t>70</w:t>
            </w:r>
            <w:r>
              <w:rPr>
                <w:rFonts w:hint="eastAsia"/>
                <w:color w:val="000000"/>
                <w:sz w:val="18"/>
                <w:szCs w:val="18"/>
              </w:rPr>
              <w:t>%</w:t>
            </w:r>
          </w:p>
        </w:tc>
        <w:tc>
          <w:tcPr>
            <w:tcW w:w="900" w:type="dxa"/>
            <w:noWrap w:val="0"/>
            <w:vAlign w:val="center"/>
          </w:tcPr>
          <w:p>
            <w:pPr>
              <w:spacing w:line="300" w:lineRule="exact"/>
              <w:jc w:val="center"/>
              <w:rPr>
                <w:rFonts w:hint="eastAsia" w:ascii="仿宋_GB2312" w:eastAsia="仿宋_GB2312"/>
                <w:szCs w:val="21"/>
              </w:rPr>
            </w:pPr>
            <w:r>
              <w:rPr>
                <w:rFonts w:hint="eastAsia" w:ascii="仿宋_GB2312" w:eastAsia="仿宋_GB2312"/>
                <w:szCs w:val="21"/>
                <w:lang w:eastAsia="zh-CN"/>
              </w:rPr>
              <w:t>发卡</w:t>
            </w:r>
            <w:r>
              <w:rPr>
                <w:rFonts w:hint="eastAsia" w:ascii="仿宋_GB2312" w:eastAsia="仿宋_GB2312"/>
                <w:szCs w:val="21"/>
              </w:rPr>
              <w:t>人数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2" w:hRule="atLeast"/>
        </w:trPr>
        <w:tc>
          <w:tcPr>
            <w:tcW w:w="1065" w:type="dxa"/>
            <w:noWrap w:val="0"/>
            <w:vAlign w:val="center"/>
          </w:tcPr>
          <w:p>
            <w:pPr>
              <w:spacing w:line="300" w:lineRule="exact"/>
              <w:jc w:val="center"/>
              <w:rPr>
                <w:rFonts w:hint="eastAsia" w:ascii="仿宋_GB2312" w:eastAsia="仿宋_GB2312"/>
                <w:szCs w:val="21"/>
              </w:rPr>
            </w:pPr>
            <w:r>
              <w:rPr>
                <w:rFonts w:hint="eastAsia" w:ascii="仿宋_GB2312" w:eastAsia="仿宋_GB2312"/>
                <w:szCs w:val="21"/>
              </w:rPr>
              <w:t>效果指标</w:t>
            </w:r>
          </w:p>
        </w:tc>
        <w:tc>
          <w:tcPr>
            <w:tcW w:w="1065" w:type="dxa"/>
            <w:noWrap w:val="0"/>
            <w:vAlign w:val="center"/>
          </w:tcPr>
          <w:p>
            <w:pPr>
              <w:spacing w:line="300" w:lineRule="exact"/>
              <w:jc w:val="center"/>
              <w:rPr>
                <w:rFonts w:hint="eastAsia" w:ascii="仿宋_GB2312" w:eastAsia="仿宋_GB2312"/>
                <w:szCs w:val="21"/>
                <w:lang w:eastAsia="zh-CN"/>
              </w:rPr>
            </w:pPr>
            <w:r>
              <w:rPr>
                <w:rFonts w:hint="eastAsia" w:ascii="仿宋_GB2312" w:eastAsia="仿宋_GB2312"/>
                <w:szCs w:val="21"/>
              </w:rPr>
              <w:t>人才绿卡发放</w:t>
            </w:r>
            <w:r>
              <w:rPr>
                <w:rFonts w:hint="eastAsia" w:ascii="仿宋_GB2312" w:eastAsia="仿宋_GB2312"/>
                <w:szCs w:val="21"/>
                <w:lang w:eastAsia="zh-CN"/>
              </w:rPr>
              <w:t>金额</w:t>
            </w:r>
          </w:p>
        </w:tc>
        <w:tc>
          <w:tcPr>
            <w:tcW w:w="2298" w:type="dxa"/>
            <w:noWrap w:val="0"/>
            <w:vAlign w:val="center"/>
          </w:tcPr>
          <w:p>
            <w:pPr>
              <w:spacing w:line="300" w:lineRule="exact"/>
              <w:rPr>
                <w:rFonts w:hint="eastAsia" w:ascii="仿宋_GB2312" w:eastAsia="仿宋_GB2312"/>
                <w:szCs w:val="21"/>
              </w:rPr>
            </w:pPr>
            <w:r>
              <w:rPr>
                <w:rFonts w:hint="eastAsia" w:ascii="仿宋_GB2312" w:eastAsia="仿宋_GB2312"/>
                <w:szCs w:val="21"/>
              </w:rPr>
              <w:t>反映我区支持、奖励高层次人才、成长型人才和基础型人才情况</w:t>
            </w:r>
          </w:p>
        </w:tc>
        <w:tc>
          <w:tcPr>
            <w:tcW w:w="720" w:type="dxa"/>
            <w:noWrap w:val="0"/>
            <w:vAlign w:val="center"/>
          </w:tcPr>
          <w:p>
            <w:pPr>
              <w:jc w:val="center"/>
              <w:rPr>
                <w:rFonts w:ascii="宋体" w:hAnsi="宋体" w:cs="宋体"/>
                <w:color w:val="000000"/>
                <w:sz w:val="18"/>
                <w:szCs w:val="18"/>
              </w:rPr>
            </w:pPr>
            <w:r>
              <w:rPr>
                <w:rFonts w:hint="eastAsia"/>
                <w:color w:val="000000"/>
                <w:sz w:val="18"/>
                <w:szCs w:val="18"/>
              </w:rPr>
              <w:t>≥90%</w:t>
            </w:r>
          </w:p>
        </w:tc>
        <w:tc>
          <w:tcPr>
            <w:tcW w:w="900" w:type="dxa"/>
            <w:noWrap w:val="0"/>
            <w:vAlign w:val="center"/>
          </w:tcPr>
          <w:p>
            <w:pPr>
              <w:jc w:val="center"/>
              <w:rPr>
                <w:rFonts w:ascii="宋体" w:hAnsi="宋体" w:cs="宋体"/>
                <w:color w:val="000000"/>
                <w:sz w:val="18"/>
                <w:szCs w:val="18"/>
              </w:rPr>
            </w:pPr>
            <w:r>
              <w:rPr>
                <w:rFonts w:hint="eastAsia"/>
                <w:color w:val="000000"/>
                <w:sz w:val="18"/>
                <w:szCs w:val="18"/>
              </w:rPr>
              <w:t>≥80%</w:t>
            </w:r>
          </w:p>
        </w:tc>
        <w:tc>
          <w:tcPr>
            <w:tcW w:w="1440" w:type="dxa"/>
            <w:noWrap w:val="0"/>
            <w:vAlign w:val="center"/>
          </w:tcPr>
          <w:p>
            <w:pPr>
              <w:jc w:val="center"/>
              <w:rPr>
                <w:rFonts w:ascii="宋体" w:hAnsi="宋体" w:cs="宋体"/>
                <w:color w:val="000000"/>
                <w:sz w:val="18"/>
                <w:szCs w:val="18"/>
              </w:rPr>
            </w:pPr>
            <w:r>
              <w:rPr>
                <w:rFonts w:hint="eastAsia"/>
                <w:color w:val="000000"/>
                <w:sz w:val="18"/>
                <w:szCs w:val="18"/>
              </w:rPr>
              <w:t>&lt;80%</w:t>
            </w:r>
          </w:p>
        </w:tc>
        <w:tc>
          <w:tcPr>
            <w:tcW w:w="900" w:type="dxa"/>
            <w:noWrap w:val="0"/>
            <w:vAlign w:val="center"/>
          </w:tcPr>
          <w:p>
            <w:pPr>
              <w:jc w:val="center"/>
              <w:rPr>
                <w:rFonts w:ascii="宋体" w:hAnsi="宋体" w:cs="宋体"/>
                <w:color w:val="000000"/>
                <w:sz w:val="18"/>
                <w:szCs w:val="18"/>
              </w:rPr>
            </w:pPr>
            <w:r>
              <w:rPr>
                <w:rFonts w:hint="eastAsia"/>
                <w:color w:val="000000"/>
                <w:sz w:val="18"/>
                <w:szCs w:val="18"/>
              </w:rPr>
              <w:t>&lt;</w:t>
            </w:r>
            <w:r>
              <w:rPr>
                <w:rFonts w:hint="eastAsia"/>
                <w:color w:val="000000"/>
                <w:sz w:val="18"/>
                <w:szCs w:val="18"/>
                <w:lang w:val="en-US" w:eastAsia="zh-CN"/>
              </w:rPr>
              <w:t>70</w:t>
            </w:r>
            <w:r>
              <w:rPr>
                <w:rFonts w:hint="eastAsia"/>
                <w:color w:val="000000"/>
                <w:sz w:val="18"/>
                <w:szCs w:val="18"/>
              </w:rPr>
              <w:t>%</w:t>
            </w:r>
          </w:p>
        </w:tc>
        <w:tc>
          <w:tcPr>
            <w:tcW w:w="900" w:type="dxa"/>
            <w:noWrap w:val="0"/>
            <w:vAlign w:val="center"/>
          </w:tcPr>
          <w:p>
            <w:pPr>
              <w:spacing w:line="300" w:lineRule="exact"/>
              <w:jc w:val="center"/>
              <w:rPr>
                <w:rFonts w:hint="eastAsia" w:ascii="仿宋_GB2312" w:eastAsia="仿宋_GB2312"/>
                <w:szCs w:val="21"/>
                <w:lang w:eastAsia="zh-CN"/>
              </w:rPr>
            </w:pPr>
            <w:r>
              <w:rPr>
                <w:rFonts w:hint="eastAsia" w:ascii="仿宋_GB2312" w:eastAsia="仿宋_GB2312"/>
                <w:szCs w:val="21"/>
                <w:lang w:eastAsia="zh-CN"/>
              </w:rPr>
              <w:t>发放金额</w:t>
            </w:r>
          </w:p>
        </w:tc>
      </w:tr>
    </w:tbl>
    <w:p>
      <w:pPr>
        <w:rPr>
          <w:rFonts w:hint="eastAsia" w:ascii="黑体" w:hAnsi="黑体" w:eastAsia="黑体" w:cs="黑体"/>
          <w:b/>
          <w:bCs/>
          <w:sz w:val="32"/>
          <w:szCs w:val="32"/>
          <w:lang w:eastAsia="zh-CN"/>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spacing w:line="600" w:lineRule="exact"/>
        <w:ind w:firstLine="645"/>
        <w:rPr>
          <w:rFonts w:hint="eastAsia" w:ascii="仿宋_GB2312" w:eastAsia="仿宋_GB2312"/>
          <w:sz w:val="32"/>
          <w:szCs w:val="32"/>
          <w:lang w:eastAsia="zh-CN"/>
        </w:rPr>
      </w:pPr>
      <w:r>
        <w:rPr>
          <w:rFonts w:hint="eastAsia" w:ascii="仿宋_GB2312" w:eastAsia="仿宋_GB2312"/>
          <w:sz w:val="32"/>
          <w:lang w:eastAsia="zh-CN"/>
        </w:rPr>
        <w:t>中共石家庄市鹿泉区委、石家庄市鹿泉区人民政府关于印发《石家庄市鹿泉区人才绿卡（</w:t>
      </w:r>
      <w:r>
        <w:rPr>
          <w:rFonts w:hint="eastAsia" w:ascii="仿宋_GB2312" w:eastAsia="仿宋_GB2312"/>
          <w:sz w:val="32"/>
          <w:lang w:val="en-US" w:eastAsia="zh-CN"/>
        </w:rPr>
        <w:t>C卡）管理办法（试行）》的通知</w:t>
      </w:r>
      <w:r>
        <w:rPr>
          <w:rFonts w:hint="eastAsia" w:ascii="仿宋_GB2312" w:eastAsia="仿宋_GB2312"/>
          <w:sz w:val="32"/>
        </w:rPr>
        <w:t>（</w:t>
      </w:r>
      <w:r>
        <w:rPr>
          <w:rFonts w:hint="eastAsia" w:ascii="仿宋_GB2312" w:hAnsi="宋体" w:eastAsia="仿宋_GB2312" w:cs="方正小标宋简体"/>
          <w:kern w:val="0"/>
          <w:sz w:val="32"/>
          <w:szCs w:val="32"/>
        </w:rPr>
        <w:t>鹿字</w:t>
      </w:r>
      <w:r>
        <w:rPr>
          <w:rFonts w:hint="eastAsia" w:ascii="仿宋_GB2312" w:hAnsi="宋体" w:eastAsia="仿宋_GB2312"/>
          <w:sz w:val="32"/>
          <w:szCs w:val="32"/>
        </w:rPr>
        <w:t>〔2017〕4</w:t>
      </w:r>
      <w:r>
        <w:rPr>
          <w:rFonts w:hint="eastAsia" w:ascii="仿宋_GB2312" w:hAnsi="宋体" w:eastAsia="仿宋_GB2312"/>
          <w:sz w:val="32"/>
          <w:szCs w:val="32"/>
          <w:lang w:val="en-US" w:eastAsia="zh-CN"/>
        </w:rPr>
        <w:t>1</w:t>
      </w:r>
      <w:r>
        <w:rPr>
          <w:rFonts w:hint="eastAsia" w:ascii="仿宋_GB2312" w:hAnsi="宋体" w:eastAsia="仿宋_GB2312" w:cs="宋体"/>
          <w:spacing w:val="24"/>
          <w:kern w:val="0"/>
          <w:sz w:val="32"/>
          <w:szCs w:val="32"/>
        </w:rPr>
        <w:t>号</w:t>
      </w:r>
      <w:r>
        <w:rPr>
          <w:rFonts w:hint="eastAsia" w:ascii="仿宋_GB2312" w:eastAsia="仿宋_GB2312"/>
          <w:sz w:val="32"/>
        </w:rPr>
        <w:t>）规定，</w:t>
      </w:r>
      <w:r>
        <w:rPr>
          <w:rFonts w:hint="eastAsia" w:ascii="仿宋_GB2312" w:eastAsia="仿宋_GB2312"/>
          <w:sz w:val="32"/>
          <w:szCs w:val="32"/>
        </w:rPr>
        <w:t>持“</w:t>
      </w:r>
      <w:r>
        <w:rPr>
          <w:rFonts w:hint="eastAsia" w:ascii="仿宋_GB2312" w:eastAsia="仿宋_GB2312"/>
          <w:sz w:val="32"/>
          <w:szCs w:val="32"/>
          <w:lang w:val="en-US" w:eastAsia="zh-CN"/>
        </w:rPr>
        <w:t>C</w:t>
      </w:r>
      <w:r>
        <w:rPr>
          <w:rFonts w:hint="eastAsia" w:ascii="仿宋_GB2312" w:eastAsia="仿宋_GB2312"/>
          <w:sz w:val="32"/>
          <w:szCs w:val="32"/>
        </w:rPr>
        <w:t>卡”者根据不同类别可享受每人每月</w:t>
      </w:r>
      <w:r>
        <w:rPr>
          <w:rFonts w:hint="eastAsia" w:ascii="仿宋_GB2312" w:eastAsia="仿宋_GB2312"/>
          <w:sz w:val="32"/>
          <w:szCs w:val="32"/>
          <w:lang w:val="en-US" w:eastAsia="zh-CN"/>
        </w:rPr>
        <w:t>250--500</w:t>
      </w:r>
      <w:r>
        <w:rPr>
          <w:rFonts w:hint="eastAsia" w:ascii="仿宋_GB2312" w:eastAsia="仿宋_GB2312"/>
          <w:sz w:val="32"/>
          <w:szCs w:val="32"/>
        </w:rPr>
        <w:t>元不等的生活补贴</w:t>
      </w:r>
      <w:r>
        <w:rPr>
          <w:rFonts w:hint="eastAsia" w:ascii="仿宋_GB2312" w:eastAsia="仿宋_GB2312"/>
          <w:sz w:val="32"/>
          <w:szCs w:val="32"/>
          <w:lang w:eastAsia="zh-CN"/>
        </w:rPr>
        <w:t>。</w:t>
      </w:r>
      <w:r>
        <w:rPr>
          <w:rFonts w:hint="eastAsia" w:ascii="仿宋_GB2312" w:eastAsia="仿宋_GB2312"/>
          <w:sz w:val="32"/>
          <w:szCs w:val="32"/>
          <w:lang w:val="en-US" w:eastAsia="zh-CN"/>
        </w:rPr>
        <w:t>根据生活补贴专款专用率、发放率等绩效指标对项目进行评分，</w:t>
      </w:r>
      <w:r>
        <w:rPr>
          <w:rFonts w:hint="eastAsia" w:ascii="仿宋_GB2312" w:eastAsia="仿宋_GB2312"/>
          <w:b w:val="0"/>
          <w:bCs w:val="0"/>
          <w:sz w:val="32"/>
          <w:szCs w:val="32"/>
          <w:lang w:val="en-US" w:eastAsia="zh-CN"/>
        </w:rPr>
        <w:t>评分分值92分。</w:t>
      </w:r>
      <w:bookmarkStart w:id="0" w:name="_GoBack"/>
      <w:bookmarkEnd w:id="0"/>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r>
        <w:rPr>
          <w:rFonts w:hint="eastAsia" w:ascii="仿宋_GB2312" w:eastAsia="仿宋_GB2312"/>
          <w:sz w:val="32"/>
          <w:szCs w:val="32"/>
          <w:lang w:val="en-US" w:eastAsia="zh-CN"/>
        </w:rPr>
        <w:t>持“C</w:t>
      </w:r>
      <w:r>
        <w:rPr>
          <w:rFonts w:hint="eastAsia" w:ascii="仿宋_GB2312" w:eastAsia="仿宋_GB2312"/>
          <w:sz w:val="32"/>
          <w:szCs w:val="32"/>
        </w:rPr>
        <w:t>卡”</w:t>
      </w:r>
      <w:r>
        <w:rPr>
          <w:rFonts w:hint="eastAsia" w:ascii="仿宋_GB2312" w:eastAsia="仿宋_GB2312"/>
          <w:sz w:val="32"/>
          <w:szCs w:val="32"/>
          <w:lang w:eastAsia="zh-CN"/>
        </w:rPr>
        <w:t>人才领取</w:t>
      </w:r>
      <w:r>
        <w:rPr>
          <w:rFonts w:hint="eastAsia" w:ascii="仿宋_GB2312" w:eastAsia="仿宋_GB2312"/>
          <w:sz w:val="32"/>
          <w:szCs w:val="32"/>
          <w:lang w:val="en-US" w:eastAsia="zh-CN"/>
        </w:rPr>
        <w:t>房租</w:t>
      </w:r>
      <w:r>
        <w:rPr>
          <w:rFonts w:hint="eastAsia" w:ascii="仿宋_GB2312" w:eastAsia="仿宋_GB2312"/>
          <w:sz w:val="32"/>
          <w:szCs w:val="32"/>
          <w:lang w:eastAsia="zh-CN"/>
        </w:rPr>
        <w:t>补贴</w:t>
      </w:r>
      <w:r>
        <w:rPr>
          <w:rFonts w:hint="eastAsia" w:ascii="仿宋_GB2312" w:eastAsia="仿宋_GB2312"/>
          <w:b w:val="0"/>
          <w:bCs w:val="0"/>
          <w:sz w:val="32"/>
          <w:szCs w:val="32"/>
          <w:lang w:val="en-US" w:eastAsia="zh-CN"/>
        </w:rPr>
        <w:t>按季度发放，</w:t>
      </w:r>
      <w:r>
        <w:rPr>
          <w:rFonts w:hint="eastAsia" w:ascii="仿宋_GB2312" w:eastAsia="仿宋_GB2312"/>
          <w:color w:val="auto"/>
          <w:sz w:val="32"/>
          <w:szCs w:val="32"/>
          <w:lang w:val="en-US" w:eastAsia="zh-CN"/>
        </w:rPr>
        <w:t>2019年6月、9月、12月对我区</w:t>
      </w:r>
      <w:r>
        <w:rPr>
          <w:rFonts w:hint="eastAsia" w:ascii="仿宋_GB2312" w:eastAsia="仿宋_GB2312"/>
          <w:sz w:val="32"/>
          <w:szCs w:val="32"/>
        </w:rPr>
        <w:t>持“</w:t>
      </w:r>
      <w:r>
        <w:rPr>
          <w:rFonts w:hint="eastAsia" w:ascii="仿宋_GB2312" w:eastAsia="仿宋_GB2312"/>
          <w:sz w:val="32"/>
          <w:szCs w:val="32"/>
          <w:lang w:val="en-US" w:eastAsia="zh-CN"/>
        </w:rPr>
        <w:t>C</w:t>
      </w:r>
      <w:r>
        <w:rPr>
          <w:rFonts w:hint="eastAsia" w:ascii="仿宋_GB2312" w:eastAsia="仿宋_GB2312"/>
          <w:sz w:val="32"/>
          <w:szCs w:val="32"/>
        </w:rPr>
        <w:t>卡”</w:t>
      </w:r>
      <w:r>
        <w:rPr>
          <w:rFonts w:hint="eastAsia" w:ascii="仿宋_GB2312" w:eastAsia="仿宋_GB2312"/>
          <w:sz w:val="32"/>
          <w:szCs w:val="32"/>
          <w:lang w:eastAsia="zh-CN"/>
        </w:rPr>
        <w:t>人才</w:t>
      </w:r>
      <w:r>
        <w:rPr>
          <w:rFonts w:hint="eastAsia" w:ascii="仿宋_GB2312" w:eastAsia="仿宋_GB2312"/>
          <w:sz w:val="32"/>
          <w:szCs w:val="32"/>
          <w:lang w:val="en-US" w:eastAsia="zh-CN"/>
        </w:rPr>
        <w:t>发放房租</w:t>
      </w:r>
      <w:r>
        <w:rPr>
          <w:rFonts w:hint="eastAsia" w:ascii="仿宋_GB2312" w:eastAsia="仿宋_GB2312"/>
          <w:sz w:val="32"/>
          <w:szCs w:val="32"/>
          <w:lang w:eastAsia="zh-CN"/>
        </w:rPr>
        <w:t>补贴</w:t>
      </w:r>
      <w:r>
        <w:rPr>
          <w:rFonts w:hint="eastAsia" w:ascii="仿宋_GB2312" w:hAnsi="仿宋_GB2312" w:eastAsia="仿宋_GB2312" w:cs="仿宋_GB2312"/>
          <w:color w:val="auto"/>
          <w:sz w:val="32"/>
          <w:szCs w:val="32"/>
          <w:lang w:val="en-US" w:eastAsia="zh-CN"/>
        </w:rPr>
        <w:t>共计</w:t>
      </w:r>
      <w:r>
        <w:rPr>
          <w:rFonts w:hint="eastAsia" w:ascii="仿宋_GB2312" w:eastAsia="仿宋_GB2312"/>
          <w:sz w:val="32"/>
          <w:szCs w:val="32"/>
          <w:lang w:val="en-US" w:eastAsia="zh-CN"/>
        </w:rPr>
        <w:t>4596500元，</w:t>
      </w:r>
      <w:r>
        <w:rPr>
          <w:rFonts w:hint="eastAsia" w:ascii="仿宋_GB2312" w:eastAsia="仿宋_GB2312"/>
          <w:b w:val="0"/>
          <w:bCs w:val="0"/>
          <w:sz w:val="32"/>
          <w:szCs w:val="32"/>
          <w:lang w:val="en-US" w:eastAsia="zh-CN"/>
        </w:rPr>
        <w:t>根据指标体系评分标准计算分值是92分。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1.业务管理情况分析。业务管理制度健全、制度执行有效、项目质量可控，相关资料齐全并归档，人员条件、信息反馈等及时落实到位。</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r>
        <w:rPr>
          <w:rFonts w:hint="eastAsia" w:ascii="仿宋_GB2312" w:hAnsi="仿宋_GB2312" w:eastAsia="仿宋_GB2312" w:cs="仿宋_GB2312"/>
          <w:b w:val="0"/>
          <w:i w:val="0"/>
          <w:snapToGrid/>
          <w:color w:val="000000"/>
          <w:sz w:val="32"/>
          <w:szCs w:val="32"/>
          <w:u w:val="none"/>
          <w:shd w:val="clear" w:color="auto" w:fill="FFFFFF"/>
          <w:lang w:eastAsia="zh-CN"/>
        </w:rPr>
        <w:t>项目实施单位的财务制度健全，用以反映和考核财务管理制度对资金规范、安全运行的保障情况。</w:t>
      </w:r>
      <w:r>
        <w:rPr>
          <w:rFonts w:hint="eastAsia" w:ascii="仿宋_GB2312" w:eastAsia="仿宋_GB2312"/>
          <w:b w:val="0"/>
          <w:bCs w:val="0"/>
          <w:sz w:val="32"/>
          <w:szCs w:val="32"/>
          <w:lang w:val="en-US" w:eastAsia="zh-CN"/>
        </w:rPr>
        <w:t>资金使用合规、财务监控有效，实现了专款专用，资金拨付有完整的审批程序和手续。</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对项目的实际完成率、完成及时率等情况进行分析后，根据指标体系评分标准计算分值为92分。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对项目的经济效益、社会效益、生态效益、可持续影响和社会公众或服务对象满意度等情况进行分析后，根据指标体系评分标准计算分值是92分。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adjustRightInd/>
        <w:snapToGrid/>
        <w:ind w:left="638" w:leftChars="304" w:firstLine="0" w:firstLineChars="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根据项目执行情况和项目绩效情况，总得分</w:t>
      </w:r>
      <w:r>
        <w:rPr>
          <w:rFonts w:hint="default" w:ascii="Arial" w:hAnsi="Arial" w:eastAsia="仿宋_GB2312" w:cs="Arial"/>
          <w:sz w:val="32"/>
          <w:szCs w:val="32"/>
        </w:rPr>
        <w:t>≥</w:t>
      </w:r>
      <w:r>
        <w:rPr>
          <w:rFonts w:hint="eastAsia" w:ascii="仿宋_GB2312" w:eastAsia="仿宋_GB2312"/>
          <w:sz w:val="32"/>
          <w:szCs w:val="32"/>
          <w:lang w:val="en-US" w:eastAsia="zh-CN"/>
        </w:rPr>
        <w:t>90</w:t>
      </w:r>
      <w:r>
        <w:rPr>
          <w:rFonts w:hint="eastAsia" w:ascii="仿宋_GB2312" w:eastAsia="仿宋_GB2312"/>
          <w:sz w:val="32"/>
          <w:szCs w:val="32"/>
        </w:rPr>
        <w:t>分</w:t>
      </w:r>
      <w:r>
        <w:rPr>
          <w:rFonts w:hint="eastAsia" w:ascii="仿宋_GB2312" w:eastAsia="仿宋_GB2312"/>
          <w:sz w:val="32"/>
          <w:szCs w:val="32"/>
          <w:lang w:eastAsia="zh-CN"/>
        </w:rPr>
        <w:t>，</w:t>
      </w:r>
      <w:r>
        <w:rPr>
          <w:rFonts w:hint="eastAsia" w:ascii="仿宋_GB2312" w:eastAsia="仿宋_GB2312"/>
          <w:sz w:val="32"/>
          <w:szCs w:val="32"/>
        </w:rPr>
        <w:t>优秀。</w:t>
      </w:r>
      <w:r>
        <w:rPr>
          <w:rFonts w:hint="eastAsia" w:ascii="黑体" w:hAnsi="黑体" w:eastAsia="黑体"/>
          <w:b w:val="0"/>
          <w:bCs w:val="0"/>
          <w:sz w:val="32"/>
          <w:szCs w:val="32"/>
          <w:lang w:val="en-US" w:eastAsia="zh-CN"/>
        </w:rPr>
        <w:t>五、存在的问题及改进措施</w:t>
      </w:r>
    </w:p>
    <w:p>
      <w:pPr>
        <w:numPr>
          <w:ilvl w:val="0"/>
          <w:numId w:val="2"/>
        </w:numPr>
        <w:ind w:left="481"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项目存在的主要问题</w:t>
      </w:r>
    </w:p>
    <w:p>
      <w:pPr>
        <w:numPr>
          <w:ilvl w:val="0"/>
          <w:numId w:val="0"/>
        </w:numPr>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_GB2312" w:eastAsia="仿宋_GB2312"/>
          <w:b w:val="0"/>
          <w:bCs w:val="0"/>
          <w:sz w:val="32"/>
          <w:szCs w:val="32"/>
          <w:lang w:val="en-US" w:eastAsia="zh-CN"/>
        </w:rPr>
        <w:t>各企事业单位持卡人存在外出公差或者使用银行借记卡未开通状态，房租补助不能及时发放的问题。</w:t>
      </w:r>
    </w:p>
    <w:p>
      <w:pPr>
        <w:numPr>
          <w:ilvl w:val="0"/>
          <w:numId w:val="2"/>
        </w:numPr>
        <w:ind w:left="481"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numPr>
          <w:ilvl w:val="0"/>
          <w:numId w:val="0"/>
        </w:numPr>
        <w:ind w:firstLine="640" w:firstLineChars="200"/>
        <w:rPr>
          <w:rFonts w:hint="default" w:ascii="楷体_GB2312" w:hAnsi="楷体_GB2312" w:eastAsia="楷体_GB2312"/>
          <w:b w:val="0"/>
          <w:bCs w:val="0"/>
          <w:sz w:val="32"/>
          <w:szCs w:val="32"/>
          <w:lang w:val="en-US" w:eastAsia="zh-CN"/>
        </w:rPr>
      </w:pPr>
      <w:r>
        <w:rPr>
          <w:rFonts w:hint="eastAsia" w:ascii="仿宋_GB2312" w:eastAsia="仿宋_GB2312"/>
          <w:b w:val="0"/>
          <w:bCs w:val="0"/>
          <w:sz w:val="32"/>
          <w:szCs w:val="32"/>
          <w:lang w:val="en-US" w:eastAsia="zh-CN"/>
        </w:rPr>
        <w:t>要求各企事业单位统一收集持“C卡”人才银行信息，并及时更新，确保每位持卡人才生活补助能在规定的时间内按时发放到位。</w:t>
      </w:r>
    </w:p>
    <w:p>
      <w:pPr>
        <w:numPr>
          <w:ilvl w:val="0"/>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黑体" w:hAnsi="黑体" w:eastAsia="黑体"/>
          <w:b w:val="0"/>
          <w:bCs w:val="0"/>
          <w:sz w:val="32"/>
          <w:szCs w:val="32"/>
          <w:lang w:val="en-US" w:eastAsia="zh-CN"/>
        </w:rPr>
        <w:t>六、评价工作组人员名单及签</w:t>
      </w:r>
      <w:r>
        <w:rPr>
          <w:rFonts w:hint="eastAsia" w:ascii="黑体" w:eastAsia="黑体"/>
          <w:b w:val="0"/>
          <w:bCs w:val="0"/>
          <w:sz w:val="32"/>
          <w:szCs w:val="32"/>
        </w:rPr>
        <w:t>字</w:t>
      </w:r>
      <w:r>
        <w:rPr>
          <w:rFonts w:hint="eastAsia" w:ascii="仿宋_GB2312" w:eastAsia="仿宋_GB2312"/>
          <w:sz w:val="32"/>
          <w:szCs w:val="32"/>
        </w:rPr>
        <w:t>（姓名、工作单位、职务、职称）</w:t>
      </w:r>
    </w:p>
    <w:p>
      <w:pPr>
        <w:ind w:firstLine="640"/>
        <w:rPr>
          <w:rFonts w:hint="default" w:ascii="仿宋_GB2312" w:eastAsia="仿宋_GB2312"/>
          <w:sz w:val="32"/>
          <w:szCs w:val="32"/>
          <w:lang w:val="en-US" w:eastAsia="zh-CN"/>
        </w:rPr>
      </w:pPr>
      <w:r>
        <w:rPr>
          <w:rFonts w:hint="eastAsia" w:ascii="仿宋_GB2312" w:eastAsia="仿宋_GB2312"/>
          <w:sz w:val="32"/>
          <w:szCs w:val="32"/>
          <w:lang w:val="en-US" w:eastAsia="zh-CN"/>
        </w:rPr>
        <w:t>付志勇  区委组织部  副部长</w:t>
      </w:r>
    </w:p>
    <w:p>
      <w:p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王佳佳  区委组织部  人才工作科负责人</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3BE7653"/>
    <w:multiLevelType w:val="singleLevel"/>
    <w:tmpl w:val="E3BE7653"/>
    <w:lvl w:ilvl="0" w:tentative="0">
      <w:start w:val="2"/>
      <w:numFmt w:val="chineseCounting"/>
      <w:suff w:val="nothing"/>
      <w:lvlText w:val="（%1）"/>
      <w:lvlJc w:val="left"/>
      <w:pPr>
        <w:ind w:left="481" w:leftChars="0" w:firstLine="0" w:firstLineChars="0"/>
      </w:pPr>
      <w:rPr>
        <w:rFonts w:hint="eastAsia"/>
      </w:rPr>
    </w:lvl>
  </w:abstractNum>
  <w:abstractNum w:abstractNumId="1">
    <w:nsid w:val="37CADFF0"/>
    <w:multiLevelType w:val="singleLevel"/>
    <w:tmpl w:val="37CADFF0"/>
    <w:lvl w:ilvl="0" w:tentative="0">
      <w:start w:val="1"/>
      <w:numFmt w:val="chineseCounting"/>
      <w:suff w:val="nothing"/>
      <w:lvlText w:val="（%1）"/>
      <w:lvlJc w:val="left"/>
      <w:pPr>
        <w:ind w:left="481" w:leftChars="0" w:firstLine="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4014911"/>
    <w:rsid w:val="067D152D"/>
    <w:rsid w:val="1C26474A"/>
    <w:rsid w:val="1E6F220D"/>
    <w:rsid w:val="29BC1F68"/>
    <w:rsid w:val="2A2941B7"/>
    <w:rsid w:val="2ACA14FD"/>
    <w:rsid w:val="3E9D78EB"/>
    <w:rsid w:val="49B7520C"/>
    <w:rsid w:val="4A4C0792"/>
    <w:rsid w:val="512F5FAB"/>
    <w:rsid w:val="531818F5"/>
    <w:rsid w:val="550F3C40"/>
    <w:rsid w:val="62725949"/>
    <w:rsid w:val="63034197"/>
    <w:rsid w:val="7BAD6B1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阳光微凉</cp:lastModifiedBy>
  <dcterms:modified xsi:type="dcterms:W3CDTF">2020-01-07T09:09:28Z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