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人才工作专项资金</w:t>
      </w:r>
      <w:bookmarkStart w:id="0" w:name="_GoBack"/>
      <w:bookmarkEnd w:id="0"/>
      <w:r>
        <w:rPr>
          <w:rFonts w:hint="eastAsia" w:ascii="方正小标宋简体" w:hAnsi="方正小标宋简体" w:eastAsia="方正小标宋简体" w:cs="方正小标宋简体"/>
          <w:b w:val="0"/>
          <w:bCs w:val="0"/>
          <w:sz w:val="44"/>
          <w:szCs w:val="44"/>
          <w:lang w:eastAsia="zh-CN"/>
        </w:rPr>
        <w:t>经费项目</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非公企业和社会组织党建工作经费项目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项目实施单位：区委组织部</w:t>
      </w:r>
      <w:r>
        <w:rPr>
          <w:rFonts w:hint="eastAsia" w:ascii="仿宋_GB2312" w:eastAsia="仿宋_GB2312"/>
          <w:sz w:val="32"/>
          <w:szCs w:val="32"/>
          <w:lang w:val="en-US" w:eastAsia="zh-CN"/>
        </w:rPr>
        <w:t>人才工作</w:t>
      </w:r>
      <w:r>
        <w:rPr>
          <w:rFonts w:hint="eastAsia" w:ascii="仿宋_GB2312" w:eastAsia="仿宋_GB2312"/>
          <w:sz w:val="32"/>
          <w:szCs w:val="32"/>
          <w:lang w:eastAsia="zh-CN"/>
        </w:rPr>
        <w:t>科。</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spacing w:line="600" w:lineRule="exact"/>
        <w:ind w:firstLine="645"/>
        <w:rPr>
          <w:rFonts w:hint="default" w:eastAsia="仿宋_GB2312"/>
          <w:spacing w:val="8"/>
          <w:sz w:val="32"/>
          <w:lang w:val="en-US" w:eastAsia="zh-CN"/>
        </w:rPr>
      </w:pPr>
      <w:r>
        <w:rPr>
          <w:rFonts w:hint="eastAsia" w:ascii="仿宋_GB2312" w:eastAsia="仿宋_GB2312"/>
          <w:sz w:val="32"/>
          <w:szCs w:val="32"/>
          <w:lang w:val="en-US" w:eastAsia="zh-CN"/>
        </w:rPr>
        <w:t>办公经费：</w:t>
      </w:r>
      <w:r>
        <w:rPr>
          <w:rFonts w:hint="eastAsia" w:ascii="仿宋_GB2312" w:eastAsia="仿宋_GB2312"/>
          <w:spacing w:val="8"/>
          <w:sz w:val="32"/>
        </w:rPr>
        <w:t>2010年12月10</w:t>
      </w:r>
      <w:r>
        <w:rPr>
          <w:rFonts w:hint="eastAsia" w:eastAsia="仿宋_GB2312"/>
          <w:spacing w:val="8"/>
          <w:sz w:val="32"/>
        </w:rPr>
        <w:t>日，石家庄市召开了全市人才工作会议，并以市委、市政府名义联合下发了《关于印发〈石家庄市中长期人才发展规划纲要（</w:t>
      </w:r>
      <w:r>
        <w:rPr>
          <w:rFonts w:hint="eastAsia" w:ascii="仿宋_GB2312" w:eastAsia="仿宋_GB2312"/>
          <w:spacing w:val="8"/>
          <w:sz w:val="32"/>
        </w:rPr>
        <w:t>2011—2020</w:t>
      </w:r>
      <w:r>
        <w:rPr>
          <w:rFonts w:hint="eastAsia" w:eastAsia="仿宋_GB2312"/>
          <w:spacing w:val="8"/>
          <w:sz w:val="32"/>
        </w:rPr>
        <w:t>年）〉的通知》（石字</w:t>
      </w:r>
      <w:r>
        <w:rPr>
          <w:rFonts w:hint="eastAsia" w:ascii="楷体_GB2312" w:hAnsi="宋体" w:eastAsia="楷体_GB2312"/>
          <w:sz w:val="32"/>
        </w:rPr>
        <w:t>〔</w:t>
      </w:r>
      <w:r>
        <w:rPr>
          <w:rFonts w:hint="eastAsia" w:ascii="仿宋_GB2312" w:hAnsi="仿宋_GB2312" w:eastAsia="仿宋_GB2312"/>
          <w:sz w:val="32"/>
        </w:rPr>
        <w:t>2010</w:t>
      </w:r>
      <w:r>
        <w:rPr>
          <w:rFonts w:hint="eastAsia" w:ascii="楷体_GB2312" w:hAnsi="宋体" w:eastAsia="楷体_GB2312"/>
          <w:sz w:val="32"/>
        </w:rPr>
        <w:t>〕</w:t>
      </w:r>
      <w:r>
        <w:rPr>
          <w:rFonts w:hint="eastAsia" w:ascii="仿宋_GB2312" w:eastAsia="仿宋_GB2312"/>
          <w:spacing w:val="8"/>
          <w:sz w:val="32"/>
        </w:rPr>
        <w:t>40</w:t>
      </w:r>
      <w:r>
        <w:rPr>
          <w:rFonts w:hint="eastAsia" w:eastAsia="仿宋_GB2312"/>
          <w:spacing w:val="8"/>
          <w:sz w:val="32"/>
        </w:rPr>
        <w:t>号），明确要求“各县（市）区建立人才发展基金或专项资金，直接用于人才开发，纳入财政预算，并建立人才投入逐年增长机制”。</w:t>
      </w:r>
      <w:r>
        <w:rPr>
          <w:rFonts w:hint="eastAsia" w:ascii="仿宋_GB2312" w:hAnsi="仿宋_GB2312" w:eastAsia="仿宋_GB2312"/>
          <w:sz w:val="32"/>
        </w:rPr>
        <w:t>此项费用主要用于</w:t>
      </w:r>
      <w:r>
        <w:rPr>
          <w:rFonts w:hint="eastAsia" w:eastAsia="仿宋_GB2312"/>
          <w:spacing w:val="8"/>
          <w:sz w:val="32"/>
        </w:rPr>
        <w:t>保障人才工作日常运行</w:t>
      </w:r>
      <w:r>
        <w:rPr>
          <w:rFonts w:hint="eastAsia" w:eastAsia="仿宋_GB2312"/>
          <w:spacing w:val="8"/>
          <w:sz w:val="32"/>
          <w:lang w:eastAsia="zh-CN"/>
        </w:rPr>
        <w:t>，</w:t>
      </w:r>
      <w:r>
        <w:rPr>
          <w:rFonts w:hint="eastAsia" w:eastAsia="仿宋_GB2312"/>
          <w:spacing w:val="8"/>
          <w:sz w:val="32"/>
          <w:lang w:val="en-US" w:eastAsia="zh-CN"/>
        </w:rPr>
        <w:t>共计</w:t>
      </w:r>
      <w:r>
        <w:rPr>
          <w:rFonts w:hint="eastAsia" w:ascii="仿宋_GB2312" w:eastAsia="仿宋_GB2312"/>
          <w:spacing w:val="8"/>
          <w:sz w:val="32"/>
          <w:lang w:val="en-US" w:eastAsia="zh-CN"/>
        </w:rPr>
        <w:t>5</w:t>
      </w:r>
      <w:r>
        <w:rPr>
          <w:rFonts w:hint="eastAsia" w:eastAsia="仿宋_GB2312"/>
          <w:spacing w:val="8"/>
          <w:sz w:val="32"/>
          <w:lang w:val="en-US" w:eastAsia="zh-CN"/>
        </w:rPr>
        <w:t>万元。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color w:val="auto"/>
          <w:sz w:val="32"/>
          <w:szCs w:val="32"/>
          <w:lang w:val="en-US" w:eastAsia="zh-CN"/>
        </w:rPr>
        <w:t>此项费用主要用于人才培训、制作人才政策宣传册、拍摄宣传片、订阅人才杂志、慰问专家人才和人才工作日常运行，</w:t>
      </w:r>
      <w:r>
        <w:rPr>
          <w:rFonts w:hint="eastAsia" w:ascii="仿宋_GB2312" w:hAnsi="仿宋_GB2312" w:eastAsia="仿宋_GB2312" w:cs="仿宋_GB2312"/>
          <w:sz w:val="32"/>
          <w:szCs w:val="32"/>
          <w:lang w:val="en-US" w:eastAsia="zh-CN"/>
        </w:rPr>
        <w:t>共计5万元。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spacing w:line="600" w:lineRule="exact"/>
        <w:ind w:firstLine="645"/>
        <w:rPr>
          <w:rFonts w:hint="eastAsia" w:eastAsia="仿宋_GB2312"/>
          <w:spacing w:val="8"/>
          <w:sz w:val="32"/>
        </w:rPr>
      </w:pPr>
      <w:r>
        <w:rPr>
          <w:rFonts w:hint="eastAsia" w:ascii="仿宋_GB2312" w:hAnsi="仿宋_GB2312" w:eastAsia="仿宋_GB2312"/>
          <w:sz w:val="32"/>
        </w:rPr>
        <w:t>加大对人才培养、关爱以及人才工作宣传的资金支持力度，有利于</w:t>
      </w:r>
      <w:r>
        <w:rPr>
          <w:rFonts w:hint="eastAsia" w:eastAsia="仿宋_GB2312"/>
          <w:spacing w:val="8"/>
          <w:sz w:val="32"/>
        </w:rPr>
        <w:t>使更多的优秀人才集聚我区，并有效提升人才工作科学化水平。</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keepNext w:val="0"/>
        <w:keepLines w:val="0"/>
        <w:pageBreakBefore w:val="0"/>
        <w:widowControl w:val="0"/>
        <w:numPr>
          <w:ilvl w:val="0"/>
          <w:numId w:val="0"/>
        </w:numPr>
        <w:kinsoku/>
        <w:wordWrap/>
        <w:overflowPunct/>
        <w:topLinePunct w:val="0"/>
        <w:autoSpaceDE/>
        <w:autoSpaceDN/>
        <w:bidi w:val="0"/>
        <w:spacing w:line="600" w:lineRule="exact"/>
        <w:ind w:firstLine="64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1.绩效评价的组织工作</w:t>
      </w:r>
    </w:p>
    <w:p>
      <w:pPr>
        <w:keepNext w:val="0"/>
        <w:keepLines w:val="0"/>
        <w:pageBreakBefore w:val="0"/>
        <w:widowControl w:val="0"/>
        <w:numPr>
          <w:ilvl w:val="0"/>
          <w:numId w:val="0"/>
        </w:numPr>
        <w:kinsoku/>
        <w:wordWrap/>
        <w:overflowPunct/>
        <w:topLinePunct w:val="0"/>
        <w:autoSpaceDE/>
        <w:autoSpaceDN/>
        <w:bidi w:val="0"/>
        <w:spacing w:line="600" w:lineRule="exact"/>
        <w:ind w:firstLine="640"/>
        <w:textAlignment w:val="auto"/>
        <w:rPr>
          <w:rFonts w:hint="eastAsia" w:eastAsia="仿宋_GB2312"/>
          <w:spacing w:val="8"/>
          <w:sz w:val="32"/>
          <w:lang w:eastAsia="zh-CN"/>
        </w:rPr>
      </w:pPr>
      <w:r>
        <w:rPr>
          <w:rFonts w:hint="eastAsia" w:ascii="仿宋_GB2312" w:hAnsi="仿宋_GB2312" w:eastAsia="仿宋_GB2312"/>
          <w:sz w:val="32"/>
        </w:rPr>
        <w:t>此项费用主要用于人才培养、关爱、人才工作宣传和</w:t>
      </w:r>
      <w:r>
        <w:rPr>
          <w:rFonts w:hint="eastAsia" w:eastAsia="仿宋_GB2312"/>
          <w:spacing w:val="8"/>
          <w:sz w:val="32"/>
        </w:rPr>
        <w:t>日常运行</w:t>
      </w:r>
      <w:r>
        <w:rPr>
          <w:rFonts w:hint="eastAsia" w:eastAsia="仿宋_GB2312"/>
          <w:spacing w:val="8"/>
          <w:sz w:val="32"/>
          <w:lang w:eastAsia="zh-CN"/>
        </w:rPr>
        <w:t>。</w:t>
      </w:r>
    </w:p>
    <w:p>
      <w:pPr>
        <w:keepNext w:val="0"/>
        <w:keepLines w:val="0"/>
        <w:pageBreakBefore w:val="0"/>
        <w:widowControl w:val="0"/>
        <w:numPr>
          <w:ilvl w:val="0"/>
          <w:numId w:val="0"/>
        </w:numPr>
        <w:kinsoku/>
        <w:wordWrap/>
        <w:overflowPunct/>
        <w:topLinePunct w:val="0"/>
        <w:autoSpaceDE/>
        <w:autoSpaceDN/>
        <w:bidi w:val="0"/>
        <w:spacing w:line="600" w:lineRule="exact"/>
        <w:ind w:firstLine="640"/>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2.建立绩效评价指标体系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（1）绩效目标：</w:t>
      </w:r>
      <w:r>
        <w:rPr>
          <w:rFonts w:hint="eastAsia" w:ascii="仿宋_GB2312" w:eastAsia="仿宋_GB2312"/>
          <w:color w:val="auto"/>
          <w:sz w:val="32"/>
          <w:szCs w:val="32"/>
          <w:lang w:val="en-US" w:eastAsia="zh-CN"/>
        </w:rPr>
        <w:t>人才培训、制作人才政策宣传册、拍摄宣传片、订阅人才杂志、慰问专家人才和人才工作日常运行</w:t>
      </w:r>
      <w:r>
        <w:rPr>
          <w:rFonts w:hint="eastAsia" w:ascii="仿宋_GB2312" w:eastAsia="仿宋_GB2312"/>
          <w:sz w:val="32"/>
          <w:szCs w:val="32"/>
          <w:lang w:val="en-US" w:eastAsia="zh-CN"/>
        </w:rPr>
        <w:t>共计5万元。</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（2）产出指标：</w:t>
      </w:r>
    </w:p>
    <w:p>
      <w:pPr>
        <w:ind w:firstLine="640" w:firstLineChars="200"/>
        <w:jc w:val="both"/>
        <w:rPr>
          <w:rFonts w:hint="default" w:ascii="仿宋_GB2312" w:eastAsia="仿宋_GB2312"/>
          <w:sz w:val="32"/>
          <w:szCs w:val="32"/>
          <w:lang w:val="en-US" w:eastAsia="zh-CN"/>
        </w:rPr>
      </w:pPr>
      <w:r>
        <w:rPr>
          <w:rFonts w:hint="eastAsia" w:ascii="仿宋_GB2312" w:eastAsia="仿宋_GB2312"/>
          <w:color w:val="auto"/>
          <w:sz w:val="32"/>
          <w:szCs w:val="32"/>
          <w:lang w:val="en-US" w:eastAsia="zh-CN"/>
        </w:rPr>
        <w:t>人才培训、制作人才政策宣传册、拍摄宣传片、订阅人才杂志、慰问专家人才和人才工作日常运行</w:t>
      </w:r>
      <w:r>
        <w:rPr>
          <w:rFonts w:hint="eastAsia" w:ascii="仿宋_GB2312" w:eastAsia="仿宋_GB2312"/>
          <w:sz w:val="32"/>
          <w:szCs w:val="32"/>
          <w:lang w:val="en-US" w:eastAsia="zh-CN"/>
        </w:rPr>
        <w:t>（实际支出金额/计划支出金额）</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（3）效果指标：</w:t>
      </w:r>
    </w:p>
    <w:p>
      <w:pPr>
        <w:ind w:firstLine="640" w:firstLineChars="200"/>
        <w:jc w:val="both"/>
        <w:rPr>
          <w:rFonts w:hint="default" w:ascii="仿宋_GB2312" w:eastAsia="仿宋_GB2312"/>
          <w:sz w:val="32"/>
          <w:szCs w:val="32"/>
          <w:lang w:val="en-US" w:eastAsia="zh-CN"/>
        </w:rPr>
      </w:pPr>
      <w:r>
        <w:rPr>
          <w:rFonts w:hint="eastAsia" w:ascii="仿宋_GB2312" w:eastAsia="仿宋_GB2312"/>
          <w:color w:val="auto"/>
          <w:sz w:val="32"/>
          <w:szCs w:val="32"/>
          <w:lang w:val="en-US" w:eastAsia="zh-CN"/>
        </w:rPr>
        <w:t>人才培训、制作人才政策宣传册、拍摄宣传片、订阅人才杂志、慰问专家人才和人才工作日常运行</w:t>
      </w:r>
      <w:r>
        <w:rPr>
          <w:rFonts w:hint="eastAsia" w:ascii="仿宋_GB2312" w:eastAsia="仿宋_GB2312"/>
          <w:sz w:val="32"/>
          <w:szCs w:val="32"/>
          <w:lang w:val="en-US" w:eastAsia="zh-CN"/>
        </w:rPr>
        <w:t>（实际支出金额/计划支出金额）</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spacing w:line="600" w:lineRule="exact"/>
        <w:ind w:firstLine="645"/>
        <w:rPr>
          <w:rFonts w:hint="eastAsia" w:eastAsia="仿宋_GB2312"/>
          <w:spacing w:val="8"/>
          <w:sz w:val="32"/>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eastAsia="仿宋_GB2312"/>
          <w:spacing w:val="8"/>
          <w:sz w:val="32"/>
        </w:rPr>
        <w:t>2010年12月10</w:t>
      </w:r>
      <w:r>
        <w:rPr>
          <w:rFonts w:hint="eastAsia" w:eastAsia="仿宋_GB2312"/>
          <w:spacing w:val="8"/>
          <w:sz w:val="32"/>
        </w:rPr>
        <w:t>日，石家庄市召开了全市人才工作会议，并以市委、市政府名义联合下发了《关于印发〈石家庄市中长期人才发展规划纲要（</w:t>
      </w:r>
      <w:r>
        <w:rPr>
          <w:rFonts w:hint="eastAsia" w:ascii="仿宋_GB2312" w:eastAsia="仿宋_GB2312"/>
          <w:spacing w:val="8"/>
          <w:sz w:val="32"/>
        </w:rPr>
        <w:t>2011—2020</w:t>
      </w:r>
      <w:r>
        <w:rPr>
          <w:rFonts w:hint="eastAsia" w:eastAsia="仿宋_GB2312"/>
          <w:spacing w:val="8"/>
          <w:sz w:val="32"/>
        </w:rPr>
        <w:t>年）〉的通知》（石字</w:t>
      </w:r>
      <w:r>
        <w:rPr>
          <w:rFonts w:hint="eastAsia" w:ascii="楷体_GB2312" w:hAnsi="宋体" w:eastAsia="楷体_GB2312"/>
          <w:sz w:val="32"/>
        </w:rPr>
        <w:t>〔</w:t>
      </w:r>
      <w:r>
        <w:rPr>
          <w:rFonts w:hint="eastAsia" w:ascii="仿宋_GB2312" w:hAnsi="仿宋_GB2312" w:eastAsia="仿宋_GB2312"/>
          <w:sz w:val="32"/>
        </w:rPr>
        <w:t>2010</w:t>
      </w:r>
      <w:r>
        <w:rPr>
          <w:rFonts w:hint="eastAsia" w:ascii="楷体_GB2312" w:hAnsi="宋体" w:eastAsia="楷体_GB2312"/>
          <w:sz w:val="32"/>
        </w:rPr>
        <w:t>〕</w:t>
      </w:r>
      <w:r>
        <w:rPr>
          <w:rFonts w:hint="eastAsia" w:ascii="仿宋_GB2312" w:eastAsia="仿宋_GB2312"/>
          <w:spacing w:val="8"/>
          <w:sz w:val="32"/>
        </w:rPr>
        <w:t>40</w:t>
      </w:r>
      <w:r>
        <w:rPr>
          <w:rFonts w:hint="eastAsia" w:eastAsia="仿宋_GB2312"/>
          <w:spacing w:val="8"/>
          <w:sz w:val="32"/>
        </w:rPr>
        <w:t>号），明确要求“各县（市）区建立人才发展基金或专项资金，直接用于人才开发，纳入财政预算，并建立人才投入逐年增长机制”。</w:t>
      </w:r>
      <w:r>
        <w:rPr>
          <w:rFonts w:hint="eastAsia" w:ascii="仿宋_GB2312" w:hAnsi="仿宋_GB2312" w:eastAsia="仿宋_GB2312"/>
          <w:sz w:val="32"/>
        </w:rPr>
        <w:t>此项费用主要用于</w:t>
      </w:r>
      <w:r>
        <w:rPr>
          <w:rFonts w:hint="eastAsia" w:eastAsia="仿宋_GB2312"/>
          <w:spacing w:val="8"/>
          <w:sz w:val="32"/>
        </w:rPr>
        <w:t>保障人才工作日常运行。</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资金到位率=</w:t>
      </w:r>
      <w:r>
        <w:rPr>
          <w:rFonts w:hint="eastAsia" w:ascii="仿宋_GB2312" w:hAnsi="仿宋_GB2312" w:eastAsia="仿宋_GB2312" w:cs="仿宋_GB2312"/>
          <w:b w:val="0"/>
          <w:i w:val="0"/>
          <w:snapToGrid/>
          <w:color w:val="000000"/>
          <w:sz w:val="32"/>
          <w:szCs w:val="32"/>
          <w:u w:val="none"/>
          <w:shd w:val="clear" w:color="auto" w:fill="FFFFFF"/>
          <w:lang w:eastAsia="zh-CN"/>
        </w:rPr>
        <w:t>（实际到位资金/计划投入资金）×100%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到位及时率=</w:t>
      </w:r>
      <w:r>
        <w:rPr>
          <w:rFonts w:hint="eastAsia" w:ascii="仿宋_GB2312" w:hAnsi="仿宋_GB2312" w:eastAsia="仿宋_GB2312" w:cs="仿宋_GB2312"/>
          <w:b w:val="0"/>
          <w:i w:val="0"/>
          <w:snapToGrid/>
          <w:color w:val="000000"/>
          <w:sz w:val="32"/>
          <w:szCs w:val="32"/>
          <w:u w:val="none"/>
          <w:shd w:val="clear" w:color="auto" w:fill="FFFFFF"/>
          <w:lang w:eastAsia="zh-CN"/>
        </w:rPr>
        <w:t>（及时到位资金/应到位资金）×100%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1.业务管理情况分析。业务管理制度健全、制度执行有效、项目质量可控，相关资料齐全并归档，人员条件、信息反馈等及时落实到位。</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i w:val="0"/>
          <w:snapToGrid/>
          <w:color w:val="000000"/>
          <w:sz w:val="32"/>
          <w:szCs w:val="32"/>
          <w:u w:val="none"/>
          <w:shd w:val="clear" w:color="auto" w:fill="FFFFFF"/>
          <w:lang w:eastAsia="zh-CN"/>
        </w:rPr>
        <w:t>项目实施单位的财务制度健全，用以反映和考核财务管理制度对资金规范、安全运行的保障情况。</w:t>
      </w:r>
      <w:r>
        <w:rPr>
          <w:rFonts w:hint="eastAsia" w:ascii="仿宋_GB2312" w:eastAsia="仿宋_GB2312"/>
          <w:b w:val="0"/>
          <w:bCs w:val="0"/>
          <w:sz w:val="32"/>
          <w:szCs w:val="32"/>
          <w:lang w:val="en-US" w:eastAsia="zh-CN"/>
        </w:rPr>
        <w:t>资金使用合规、财务监控有效，实现了专款专用，资金拨付有完整的审批程序和手续。</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仿宋_GB2312" w:hAnsi="仿宋_GB2312" w:eastAsia="仿宋_GB2312" w:cs="仿宋_GB2312"/>
          <w:b w:val="0"/>
          <w:i w:val="0"/>
          <w:snapToGrid/>
          <w:color w:val="000000"/>
          <w:sz w:val="32"/>
          <w:szCs w:val="32"/>
          <w:u w:val="none"/>
          <w:shd w:val="clear" w:color="auto" w:fill="FFFFFF"/>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实际完成率=（实际</w:t>
      </w:r>
      <w:r>
        <w:rPr>
          <w:rFonts w:hint="eastAsia" w:ascii="仿宋_GB2312" w:hAnsi="仿宋_GB2312" w:eastAsia="仿宋_GB2312" w:cs="仿宋_GB2312"/>
          <w:b w:val="0"/>
          <w:i w:val="0"/>
          <w:snapToGrid/>
          <w:color w:val="000000"/>
          <w:sz w:val="32"/>
          <w:szCs w:val="32"/>
          <w:u w:val="none"/>
          <w:shd w:val="clear" w:color="auto" w:fill="FFFFFF"/>
          <w:lang w:val="en-US" w:eastAsia="zh-CN"/>
        </w:rPr>
        <w:t>发放金额</w:t>
      </w:r>
      <w:r>
        <w:rPr>
          <w:rFonts w:hint="eastAsia" w:ascii="仿宋_GB2312" w:hAnsi="仿宋_GB2312" w:eastAsia="仿宋_GB2312" w:cs="仿宋_GB2312"/>
          <w:b w:val="0"/>
          <w:i w:val="0"/>
          <w:snapToGrid/>
          <w:color w:val="000000"/>
          <w:sz w:val="32"/>
          <w:szCs w:val="32"/>
          <w:u w:val="none"/>
          <w:shd w:val="clear" w:color="auto" w:fill="FFFFFF"/>
          <w:lang w:eastAsia="zh-CN"/>
        </w:rPr>
        <w:t>/计划</w:t>
      </w:r>
      <w:r>
        <w:rPr>
          <w:rFonts w:hint="eastAsia" w:ascii="仿宋_GB2312" w:hAnsi="仿宋_GB2312" w:eastAsia="仿宋_GB2312" w:cs="仿宋_GB2312"/>
          <w:b w:val="0"/>
          <w:i w:val="0"/>
          <w:snapToGrid/>
          <w:color w:val="000000"/>
          <w:sz w:val="32"/>
          <w:szCs w:val="32"/>
          <w:u w:val="none"/>
          <w:shd w:val="clear" w:color="auto" w:fill="FFFFFF"/>
          <w:lang w:val="en-US" w:eastAsia="zh-CN"/>
        </w:rPr>
        <w:t>发放金额</w:t>
      </w:r>
      <w:r>
        <w:rPr>
          <w:rFonts w:hint="eastAsia" w:ascii="仿宋_GB2312" w:hAnsi="仿宋_GB2312" w:eastAsia="仿宋_GB2312" w:cs="仿宋_GB2312"/>
          <w:b w:val="0"/>
          <w:i w:val="0"/>
          <w:snapToGrid/>
          <w:color w:val="000000"/>
          <w:sz w:val="32"/>
          <w:szCs w:val="32"/>
          <w:u w:val="none"/>
          <w:shd w:val="clear" w:color="auto" w:fill="FFFFFF"/>
          <w:lang w:eastAsia="zh-CN"/>
        </w:rPr>
        <w:t>）×100%</w:t>
      </w:r>
      <w:r>
        <w:rPr>
          <w:rFonts w:hint="eastAsia" w:ascii="仿宋_GB2312" w:hAnsi="仿宋_GB2312" w:eastAsia="仿宋_GB2312" w:cs="仿宋_GB2312"/>
          <w:b w:val="0"/>
          <w:i w:val="0"/>
          <w:snapToGrid/>
          <w:color w:val="000000"/>
          <w:sz w:val="32"/>
          <w:szCs w:val="32"/>
          <w:u w:val="none"/>
          <w:shd w:val="clear" w:color="auto" w:fill="FFFFFF"/>
          <w:lang w:val="en-US" w:eastAsia="zh-CN"/>
        </w:rPr>
        <w:t>=99%；</w:t>
      </w:r>
    </w:p>
    <w:p>
      <w:pPr>
        <w:numPr>
          <w:ilvl w:val="0"/>
          <w:numId w:val="0"/>
        </w:numPr>
        <w:ind w:firstLine="640" w:firstLineChars="200"/>
        <w:rPr>
          <w:rFonts w:hint="default" w:ascii="仿宋_GB2312" w:hAnsi="仿宋_GB2312" w:eastAsia="仿宋_GB2312" w:cs="仿宋_GB2312"/>
          <w:b w:val="0"/>
          <w:i w:val="0"/>
          <w:snapToGrid/>
          <w:color w:val="000000"/>
          <w:sz w:val="32"/>
          <w:szCs w:val="32"/>
          <w:u w:val="none"/>
          <w:shd w:val="clear" w:color="auto" w:fill="FFFFFF"/>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完成及时率=[（计划完成时间-实际完成时间）/计划完成时间]×100%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通过做好各类人才培训、慰问、关爱工作以及人才政策、典型事迹宣传，在全社会营造浓厚氛围，反映年度内人才培养、关爱、人才工作宣传情况。</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根据项目执行情况和项目绩效情况，总得分</w:t>
      </w:r>
      <w:r>
        <w:rPr>
          <w:rFonts w:hint="default" w:ascii="Arial" w:hAnsi="Arial" w:eastAsia="仿宋_GB2312" w:cs="Arial"/>
          <w:sz w:val="32"/>
          <w:szCs w:val="32"/>
        </w:rPr>
        <w:t>≥</w:t>
      </w:r>
      <w:r>
        <w:rPr>
          <w:rFonts w:hint="eastAsia" w:ascii="仿宋_GB2312" w:eastAsia="仿宋_GB2312"/>
          <w:sz w:val="32"/>
          <w:szCs w:val="32"/>
          <w:lang w:val="en-US" w:eastAsia="zh-CN"/>
        </w:rPr>
        <w:t>90</w:t>
      </w:r>
      <w:r>
        <w:rPr>
          <w:rFonts w:hint="eastAsia" w:ascii="仿宋_GB2312" w:eastAsia="仿宋_GB2312"/>
          <w:sz w:val="32"/>
          <w:szCs w:val="32"/>
        </w:rPr>
        <w:t>分</w:t>
      </w:r>
      <w:r>
        <w:rPr>
          <w:rFonts w:hint="eastAsia" w:ascii="仿宋_GB2312" w:eastAsia="仿宋_GB2312"/>
          <w:sz w:val="32"/>
          <w:szCs w:val="32"/>
          <w:lang w:eastAsia="zh-CN"/>
        </w:rPr>
        <w:t>，</w:t>
      </w:r>
      <w:r>
        <w:rPr>
          <w:rFonts w:hint="eastAsia" w:ascii="仿宋_GB2312" w:eastAsia="仿宋_GB2312"/>
          <w:sz w:val="32"/>
          <w:szCs w:val="32"/>
        </w:rPr>
        <w:t>优秀。</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黑体" w:hAnsi="黑体" w:eastAsia="黑体"/>
          <w:b w:val="0"/>
          <w:bCs w:val="0"/>
          <w:sz w:val="32"/>
          <w:szCs w:val="32"/>
          <w:lang w:val="en-US" w:eastAsia="zh-CN"/>
        </w:rPr>
        <w:t>五、评价工作组人员名单及签</w:t>
      </w:r>
      <w:r>
        <w:rPr>
          <w:rFonts w:hint="eastAsia" w:ascii="黑体" w:eastAsia="黑体"/>
          <w:b w:val="0"/>
          <w:bCs w:val="0"/>
          <w:sz w:val="32"/>
          <w:szCs w:val="32"/>
        </w:rPr>
        <w:t>字</w:t>
      </w:r>
      <w:r>
        <w:rPr>
          <w:rFonts w:hint="eastAsia" w:ascii="仿宋_GB2312" w:eastAsia="仿宋_GB2312"/>
          <w:sz w:val="32"/>
          <w:szCs w:val="32"/>
        </w:rPr>
        <w:t>（姓名、工作单位、职务、职称）</w:t>
      </w:r>
    </w:p>
    <w:p>
      <w:pPr>
        <w:ind w:firstLine="640"/>
        <w:rPr>
          <w:rFonts w:hint="default" w:ascii="仿宋_GB2312" w:eastAsia="仿宋_GB2312"/>
          <w:sz w:val="32"/>
          <w:szCs w:val="32"/>
          <w:lang w:val="en-US" w:eastAsia="zh-CN"/>
        </w:rPr>
      </w:pPr>
      <w:r>
        <w:rPr>
          <w:rFonts w:hint="eastAsia" w:ascii="仿宋_GB2312" w:eastAsia="仿宋_GB2312"/>
          <w:sz w:val="32"/>
          <w:szCs w:val="32"/>
          <w:lang w:val="en-US" w:eastAsia="zh-CN"/>
        </w:rPr>
        <w:t>付志勇  区委组织部  副部长</w:t>
      </w:r>
    </w:p>
    <w:p>
      <w:p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王佳佳  区委组织部  人才工作科负责人</w:t>
      </w:r>
    </w:p>
    <w:p>
      <w:pPr>
        <w:ind w:firstLine="640"/>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ind w:firstLine="640"/>
        <w:rPr>
          <w:rFonts w:hint="eastAsia" w:ascii="仿宋_GB2312" w:eastAsia="仿宋_GB2312"/>
          <w:sz w:val="32"/>
          <w:szCs w:val="32"/>
          <w:lang w:val="en-US" w:eastAsia="zh-CN"/>
        </w:rPr>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23C99"/>
    <w:rsid w:val="006F3114"/>
    <w:rsid w:val="019D5A10"/>
    <w:rsid w:val="03B73A34"/>
    <w:rsid w:val="04486396"/>
    <w:rsid w:val="04BA4B10"/>
    <w:rsid w:val="04C0608D"/>
    <w:rsid w:val="05063C02"/>
    <w:rsid w:val="06174EB3"/>
    <w:rsid w:val="07365867"/>
    <w:rsid w:val="085255FD"/>
    <w:rsid w:val="08CA6584"/>
    <w:rsid w:val="095B0F26"/>
    <w:rsid w:val="0AE14712"/>
    <w:rsid w:val="0B8A4F66"/>
    <w:rsid w:val="0C0F3080"/>
    <w:rsid w:val="0DF26BA8"/>
    <w:rsid w:val="0FB5086D"/>
    <w:rsid w:val="0FB91D7E"/>
    <w:rsid w:val="0FCB459D"/>
    <w:rsid w:val="0FDA6722"/>
    <w:rsid w:val="100B1EEE"/>
    <w:rsid w:val="12190B60"/>
    <w:rsid w:val="126F79C5"/>
    <w:rsid w:val="129B1980"/>
    <w:rsid w:val="131A0BB6"/>
    <w:rsid w:val="133D60CF"/>
    <w:rsid w:val="13CD23CB"/>
    <w:rsid w:val="14BE273E"/>
    <w:rsid w:val="15C74DDA"/>
    <w:rsid w:val="15DC195B"/>
    <w:rsid w:val="1619677A"/>
    <w:rsid w:val="16A52217"/>
    <w:rsid w:val="16C03F56"/>
    <w:rsid w:val="16EA74D3"/>
    <w:rsid w:val="18DB5831"/>
    <w:rsid w:val="19C95AFD"/>
    <w:rsid w:val="1A057F52"/>
    <w:rsid w:val="1A317259"/>
    <w:rsid w:val="1ACA74BE"/>
    <w:rsid w:val="1C2D77F2"/>
    <w:rsid w:val="1C3F2C02"/>
    <w:rsid w:val="1C7C3B72"/>
    <w:rsid w:val="1D490334"/>
    <w:rsid w:val="1DB83A50"/>
    <w:rsid w:val="1F4B2D32"/>
    <w:rsid w:val="1FEF09B4"/>
    <w:rsid w:val="21B47D70"/>
    <w:rsid w:val="21FD5610"/>
    <w:rsid w:val="22340133"/>
    <w:rsid w:val="22700B1B"/>
    <w:rsid w:val="22CB44CD"/>
    <w:rsid w:val="23C03F30"/>
    <w:rsid w:val="241341EC"/>
    <w:rsid w:val="24542DE3"/>
    <w:rsid w:val="258C6338"/>
    <w:rsid w:val="262A198B"/>
    <w:rsid w:val="265651AC"/>
    <w:rsid w:val="269C683A"/>
    <w:rsid w:val="27BF565A"/>
    <w:rsid w:val="2A2941B7"/>
    <w:rsid w:val="2C4C410E"/>
    <w:rsid w:val="2C8B00D8"/>
    <w:rsid w:val="2D0A1852"/>
    <w:rsid w:val="2D3A6576"/>
    <w:rsid w:val="2DB0469F"/>
    <w:rsid w:val="2E5D37EE"/>
    <w:rsid w:val="304130C8"/>
    <w:rsid w:val="33B06D02"/>
    <w:rsid w:val="34AA493F"/>
    <w:rsid w:val="3512162C"/>
    <w:rsid w:val="35337162"/>
    <w:rsid w:val="36926D34"/>
    <w:rsid w:val="36CA6225"/>
    <w:rsid w:val="37733D6E"/>
    <w:rsid w:val="37881211"/>
    <w:rsid w:val="37A802CB"/>
    <w:rsid w:val="39052600"/>
    <w:rsid w:val="39526D49"/>
    <w:rsid w:val="3A865C03"/>
    <w:rsid w:val="3AD50316"/>
    <w:rsid w:val="3CB92104"/>
    <w:rsid w:val="3E3A4072"/>
    <w:rsid w:val="3E9E7CFF"/>
    <w:rsid w:val="3F3057A8"/>
    <w:rsid w:val="3F696300"/>
    <w:rsid w:val="3F707DEC"/>
    <w:rsid w:val="40516DC1"/>
    <w:rsid w:val="410E0A86"/>
    <w:rsid w:val="418F53A1"/>
    <w:rsid w:val="438E2648"/>
    <w:rsid w:val="449E4A6A"/>
    <w:rsid w:val="46B76F15"/>
    <w:rsid w:val="479A122C"/>
    <w:rsid w:val="483B461F"/>
    <w:rsid w:val="490D6679"/>
    <w:rsid w:val="49F21561"/>
    <w:rsid w:val="4B9E63C5"/>
    <w:rsid w:val="4BF446B9"/>
    <w:rsid w:val="4DF34C10"/>
    <w:rsid w:val="4E7E14DB"/>
    <w:rsid w:val="4ED2102D"/>
    <w:rsid w:val="4EDA3907"/>
    <w:rsid w:val="509B5B48"/>
    <w:rsid w:val="511077E4"/>
    <w:rsid w:val="51716DA8"/>
    <w:rsid w:val="520A364A"/>
    <w:rsid w:val="520A4705"/>
    <w:rsid w:val="52642B01"/>
    <w:rsid w:val="53EE05A4"/>
    <w:rsid w:val="543009E3"/>
    <w:rsid w:val="5432172F"/>
    <w:rsid w:val="55C414DE"/>
    <w:rsid w:val="586B3BE7"/>
    <w:rsid w:val="58F761B7"/>
    <w:rsid w:val="5AF40498"/>
    <w:rsid w:val="5B8553CD"/>
    <w:rsid w:val="5BCC6015"/>
    <w:rsid w:val="5BD90BF1"/>
    <w:rsid w:val="5C1B6916"/>
    <w:rsid w:val="5DB56DF6"/>
    <w:rsid w:val="5DE61E77"/>
    <w:rsid w:val="5E080BE1"/>
    <w:rsid w:val="5E30437E"/>
    <w:rsid w:val="5EA10C6B"/>
    <w:rsid w:val="5F68145D"/>
    <w:rsid w:val="5F7B6D3D"/>
    <w:rsid w:val="5FC4005D"/>
    <w:rsid w:val="60A90D43"/>
    <w:rsid w:val="60F2141D"/>
    <w:rsid w:val="61D35B9F"/>
    <w:rsid w:val="632F3158"/>
    <w:rsid w:val="635B6D70"/>
    <w:rsid w:val="64106397"/>
    <w:rsid w:val="659C19C7"/>
    <w:rsid w:val="67533D27"/>
    <w:rsid w:val="69F606AF"/>
    <w:rsid w:val="6B707BAB"/>
    <w:rsid w:val="6CC34E97"/>
    <w:rsid w:val="6D3D4F4F"/>
    <w:rsid w:val="6DDD4A87"/>
    <w:rsid w:val="6FD80F94"/>
    <w:rsid w:val="709B593C"/>
    <w:rsid w:val="71EF120B"/>
    <w:rsid w:val="72C15939"/>
    <w:rsid w:val="73B13683"/>
    <w:rsid w:val="74A67385"/>
    <w:rsid w:val="75747C1C"/>
    <w:rsid w:val="77A72631"/>
    <w:rsid w:val="7AD31DE2"/>
    <w:rsid w:val="7AEC77BE"/>
    <w:rsid w:val="7B506B8A"/>
    <w:rsid w:val="7B527D55"/>
    <w:rsid w:val="7D287476"/>
    <w:rsid w:val="7EFC6B4E"/>
    <w:rsid w:val="7F8C10D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阳光微凉</cp:lastModifiedBy>
  <cp:lastPrinted>2020-01-06T07:00:00Z</cp:lastPrinted>
  <dcterms:modified xsi:type="dcterms:W3CDTF">2020-01-07T09:06:12Z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