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customXmlProperties+xml" PartName="/customXml/itemProps1.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footer+xml" PartName="/word/footer1.xml"/>
  <Override ContentType="application/vnd.openxmlformats-officedocument.wordprocessingml.footer+xml" PartName="/word/footer2.xml"/>
  <Override ContentType="application/vnd.openxmlformats-officedocument.wordprocessingml.footer+xml" PartName="/word/footer3.xml"/>
  <Override ContentType="application/vnd.openxmlformats-officedocument.wordprocessingml.header+xml" PartName="/word/header1.xml"/>
  <Override ContentType="application/vnd.openxmlformats-officedocument.wordprocessingml.numbering+xml" PartName="/word/numbering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>
      <w:pPr>
        <w:widowControl w:val="0"/>
        <w:wordWrap/>
        <w:adjustRightInd w:val="0"/>
        <w:snapToGrid/>
        <w:spacing w:before="0" w:beforeLines="0" w:after="0" w:afterLines="0" w:line="360" w:lineRule="auto"/>
        <w:ind w:right="0"/>
        <w:jc w:val="both"/>
        <w:textAlignment w:val="auto"/>
        <w:outlineLvl w:val="9"/>
        <w:rPr>
          <w:rFonts w:hint="eastAsia" w:ascii="黑体" w:hAnsi="黑体" w:eastAsia="黑体" w:cs="黑体"/>
          <w:b w:val="0"/>
          <w:bCs w:val="0"/>
          <w:sz w:val="32"/>
          <w:szCs w:val="32"/>
          <w:lang w:val="en-US" w:eastAsia="zh-CN"/>
        </w:rPr>
      </w:pPr>
    </w:p>
    <w:p>
      <w:pPr>
        <w:widowControl w:val="0"/>
        <w:wordWrap/>
        <w:adjustRightInd/>
        <w:snapToGrid/>
        <w:spacing w:line="600" w:lineRule="exact"/>
        <w:ind w:left="0" w:leftChars="0" w:right="0" w:firstLine="0" w:firstLineChars="0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lang w:eastAsia="zh-CN"/>
        </w:rPr>
        <w:t>组织科村党组织活动经费项目</w:t>
      </w:r>
    </w:p>
    <w:p>
      <w:pPr>
        <w:widowControl w:val="0"/>
        <w:wordWrap/>
        <w:adjustRightInd/>
        <w:snapToGrid/>
        <w:spacing w:line="600" w:lineRule="exact"/>
        <w:ind w:left="0" w:leftChars="0" w:right="0" w:firstLine="0" w:firstLineChars="0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</w:rPr>
        <w:t>绩效评价报告</w:t>
      </w:r>
    </w:p>
    <w:p>
      <w:pPr>
        <w:spacing w:line="360" w:lineRule="auto"/>
        <w:ind w:left="0" w:leftChars="0" w:right="0" w:firstLine="0" w:firstLineChars="0"/>
        <w:jc w:val="both"/>
        <w:rPr>
          <w:rFonts w:hint="eastAsia" w:ascii="华文楷体" w:eastAsia="华文楷体"/>
          <w:sz w:val="32"/>
          <w:szCs w:val="32"/>
          <w:lang w:eastAsia="zh-CN"/>
        </w:rPr>
      </w:pPr>
    </w:p>
    <w:p>
      <w:pPr>
        <w:widowControl w:val="0"/>
        <w:wordWrap/>
        <w:adjustRightInd w:val="0"/>
        <w:snapToGrid w:val="0"/>
        <w:spacing w:line="600" w:lineRule="exact"/>
        <w:ind w:firstLine="640" w:firstLineChars="200"/>
        <w:textAlignment w:val="auto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根据《</w:t>
      </w:r>
      <w:r>
        <w:rPr>
          <w:rFonts w:hint="eastAsia" w:ascii="仿宋_GB2312" w:eastAsia="仿宋_GB2312"/>
          <w:sz w:val="32"/>
          <w:szCs w:val="32"/>
          <w:lang w:eastAsia="zh-CN"/>
        </w:rPr>
        <w:t>石家庄市鹿泉区区级部门预算绩效管理办法</w:t>
      </w:r>
      <w:r>
        <w:rPr>
          <w:rFonts w:hint="eastAsia" w:ascii="仿宋_GB2312" w:eastAsia="仿宋_GB2312"/>
          <w:sz w:val="32"/>
          <w:szCs w:val="32"/>
        </w:rPr>
        <w:t>》</w:t>
      </w:r>
      <w:r>
        <w:rPr>
          <w:rFonts w:hint="eastAsia" w:ascii="仿宋_GB2312" w:eastAsia="仿宋_GB2312"/>
          <w:sz w:val="32"/>
          <w:szCs w:val="32"/>
          <w:lang w:eastAsia="zh-CN"/>
        </w:rPr>
        <w:t>（鹿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财字[2019]65号）</w:t>
      </w:r>
      <w:r>
        <w:rPr>
          <w:rFonts w:hint="eastAsia" w:ascii="仿宋_GB2312" w:eastAsia="仿宋_GB2312"/>
          <w:sz w:val="32"/>
          <w:szCs w:val="32"/>
        </w:rPr>
        <w:t>，遵循“科学性、规范性、客观性和公正性”的原则，对</w:t>
      </w:r>
      <w:r>
        <w:rPr>
          <w:rFonts w:hint="eastAsia" w:ascii="仿宋_GB2312" w:eastAsia="仿宋_GB2312"/>
          <w:sz w:val="32"/>
          <w:szCs w:val="32"/>
          <w:lang w:eastAsia="zh-CN"/>
        </w:rPr>
        <w:t>村党组织活动</w:t>
      </w:r>
      <w:bookmarkStart w:id="0" w:name="_GoBack"/>
      <w:bookmarkEnd w:id="0"/>
      <w:r>
        <w:rPr>
          <w:rFonts w:hint="eastAsia" w:ascii="仿宋_GB2312" w:eastAsia="仿宋_GB2312"/>
          <w:sz w:val="32"/>
          <w:szCs w:val="32"/>
          <w:lang w:eastAsia="zh-CN"/>
        </w:rPr>
        <w:t>经费项目</w:t>
      </w:r>
      <w:r>
        <w:rPr>
          <w:rFonts w:hint="eastAsia" w:ascii="仿宋_GB2312" w:eastAsia="仿宋_GB2312"/>
          <w:sz w:val="32"/>
          <w:szCs w:val="32"/>
        </w:rPr>
        <w:t>实施了</w:t>
      </w:r>
      <w:r>
        <w:rPr>
          <w:rFonts w:hint="eastAsia" w:ascii="仿宋_GB2312" w:eastAsia="仿宋_GB2312"/>
          <w:sz w:val="32"/>
          <w:szCs w:val="32"/>
          <w:lang w:eastAsia="zh-CN"/>
        </w:rPr>
        <w:t>绩效</w:t>
      </w:r>
      <w:r>
        <w:rPr>
          <w:rFonts w:hint="eastAsia" w:ascii="仿宋_GB2312" w:eastAsia="仿宋_GB2312"/>
          <w:sz w:val="32"/>
          <w:szCs w:val="32"/>
        </w:rPr>
        <w:t>评价，形成本评价报告。</w:t>
      </w:r>
    </w:p>
    <w:p>
      <w:pPr>
        <w:widowControl w:val="0"/>
        <w:wordWrap/>
        <w:adjustRightInd w:val="0"/>
        <w:snapToGrid w:val="0"/>
        <w:spacing w:line="600" w:lineRule="exact"/>
        <w:textAlignment w:val="auto"/>
        <w:rPr>
          <w:rFonts w:hint="eastAsia" w:ascii="黑体" w:eastAsia="黑体"/>
          <w:b/>
          <w:bCs/>
          <w:sz w:val="32"/>
          <w:szCs w:val="36"/>
        </w:rPr>
      </w:pPr>
      <w:r>
        <w:rPr>
          <w:rFonts w:hint="eastAsia" w:ascii="黑体" w:eastAsia="黑体"/>
          <w:sz w:val="32"/>
          <w:szCs w:val="32"/>
          <w:lang w:val="en-US" w:eastAsia="zh-CN"/>
        </w:rPr>
        <w:t xml:space="preserve">    </w:t>
      </w:r>
      <w:r>
        <w:rPr>
          <w:rFonts w:hint="eastAsia" w:ascii="黑体" w:eastAsia="黑体"/>
          <w:b w:val="0"/>
          <w:bCs w:val="0"/>
          <w:sz w:val="32"/>
          <w:szCs w:val="32"/>
        </w:rPr>
        <w:t>一、</w:t>
      </w:r>
      <w:r>
        <w:rPr>
          <w:rFonts w:hint="eastAsia" w:ascii="黑体" w:eastAsia="黑体"/>
          <w:b w:val="0"/>
          <w:bCs w:val="0"/>
          <w:sz w:val="32"/>
          <w:szCs w:val="32"/>
          <w:lang w:eastAsia="zh-CN"/>
        </w:rPr>
        <w:t>项目</w:t>
      </w:r>
      <w:r>
        <w:rPr>
          <w:rFonts w:hint="eastAsia" w:ascii="黑体" w:eastAsia="黑体"/>
          <w:b w:val="0"/>
          <w:bCs w:val="0"/>
          <w:sz w:val="32"/>
          <w:szCs w:val="36"/>
        </w:rPr>
        <w:t>基本情况</w:t>
      </w:r>
    </w:p>
    <w:p>
      <w:pPr>
        <w:widowControl w:val="0"/>
        <w:wordWrap/>
        <w:adjustRightInd w:val="0"/>
        <w:snapToGrid w:val="0"/>
        <w:spacing w:line="600" w:lineRule="exact"/>
        <w:ind w:firstLine="640" w:firstLineChars="200"/>
        <w:textAlignment w:val="auto"/>
        <w:rPr>
          <w:rFonts w:hint="eastAsia" w:ascii="楷体_GB2312" w:hAnsi="楷体_GB2312" w:eastAsia="楷体_GB2312" w:cs="楷体_GB2312"/>
          <w:b w:val="0"/>
          <w:bCs w:val="0"/>
          <w:sz w:val="32"/>
          <w:szCs w:val="32"/>
        </w:rPr>
      </w:pP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</w:rPr>
        <w:t>（一）项目概况</w:t>
      </w:r>
    </w:p>
    <w:p>
      <w:pPr>
        <w:widowControl w:val="0"/>
        <w:wordWrap/>
        <w:adjustRightInd w:val="0"/>
        <w:snapToGrid w:val="0"/>
        <w:spacing w:line="600" w:lineRule="exact"/>
        <w:ind w:firstLine="640" w:firstLineChars="200"/>
        <w:textAlignment w:val="auto"/>
        <w:rPr>
          <w:rFonts w:hint="eastAsia" w:ascii="仿宋_GB2312" w:eastAsia="仿宋_GB2312"/>
          <w:sz w:val="32"/>
          <w:szCs w:val="32"/>
          <w:lang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1.</w:t>
      </w:r>
      <w:r>
        <w:rPr>
          <w:rFonts w:hint="eastAsia" w:ascii="仿宋_GB2312" w:eastAsia="仿宋_GB2312"/>
          <w:sz w:val="32"/>
          <w:szCs w:val="32"/>
          <w:lang w:eastAsia="zh-CN"/>
        </w:rPr>
        <w:t>项目实施单位：区委组织部组织科。</w:t>
      </w:r>
    </w:p>
    <w:p>
      <w:pPr>
        <w:widowControl w:val="0"/>
        <w:wordWrap/>
        <w:adjustRightInd w:val="0"/>
        <w:snapToGrid w:val="0"/>
        <w:spacing w:line="600" w:lineRule="exact"/>
        <w:ind w:firstLine="640" w:firstLineChars="200"/>
        <w:textAlignment w:val="auto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2.项目主要实施内容和范围：</w:t>
      </w:r>
    </w:p>
    <w:p>
      <w:pPr>
        <w:spacing w:line="600" w:lineRule="exact"/>
        <w:ind w:firstLine="645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根据河北省委组织部、省财政厅《关于提高村级组织运转保障水平的意见》（冀组发〔2018〕14号）文件精神和鹿泉区《关于做好村级组织办公经费、村党组织活动经费和服务群众专项经费发放、使用工作的通知》有关要求，综合考虑党员数量、日常活动、集中教育等因素，一般按照每名党员每年不低于200元标准发放村党组织活动经费</w:t>
      </w:r>
      <w:r>
        <w:rPr>
          <w:rFonts w:hint="eastAsia" w:ascii="仿宋_GB2312" w:hAnsi="仿宋_GB2312" w:eastAsia="仿宋_GB2312"/>
          <w:color w:val="000000"/>
          <w:sz w:val="32"/>
          <w:szCs w:val="32"/>
          <w:lang w:val="en-US" w:eastAsia="zh-CN"/>
        </w:rPr>
        <w:t>。</w:t>
      </w:r>
    </w:p>
    <w:p>
      <w:pPr>
        <w:widowControl w:val="0"/>
        <w:wordWrap/>
        <w:adjustRightInd w:val="0"/>
        <w:snapToGrid w:val="0"/>
        <w:spacing w:line="600" w:lineRule="exact"/>
        <w:ind w:firstLine="640" w:firstLineChars="200"/>
        <w:textAlignment w:val="auto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3.项目资金投入情况：</w:t>
      </w:r>
    </w:p>
    <w:p>
      <w:pPr>
        <w:widowControl w:val="0"/>
        <w:wordWrap/>
        <w:adjustRightInd w:val="0"/>
        <w:snapToGrid w:val="0"/>
        <w:spacing w:line="600" w:lineRule="exact"/>
        <w:ind w:firstLine="640" w:firstLineChars="200"/>
        <w:textAlignment w:val="auto"/>
        <w:rPr>
          <w:rFonts w:hint="default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2019年度，我区共为13个乡镇（区）208个村发放村党组织活动经费302.2万元。</w:t>
      </w:r>
    </w:p>
    <w:p>
      <w:pPr>
        <w:widowControl w:val="0"/>
        <w:wordWrap/>
        <w:adjustRightInd w:val="0"/>
        <w:snapToGrid w:val="0"/>
        <w:spacing w:line="600" w:lineRule="exact"/>
        <w:ind w:firstLine="640" w:firstLineChars="200"/>
        <w:textAlignment w:val="auto"/>
        <w:rPr>
          <w:rFonts w:hint="eastAsia" w:ascii="楷体_GB2312" w:hAnsi="楷体_GB2312" w:eastAsia="楷体_GB2312" w:cs="楷体_GB2312"/>
          <w:b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</w:rPr>
        <w:t>（二）项目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eastAsia="zh-CN"/>
        </w:rPr>
        <w:t>预期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</w:rPr>
        <w:t>绩效目标</w:t>
      </w:r>
    </w:p>
    <w:p>
      <w:pPr>
        <w:widowControl w:val="0"/>
        <w:wordWrap/>
        <w:spacing w:line="600" w:lineRule="exact"/>
        <w:ind w:firstLine="640" w:firstLineChars="200"/>
        <w:textAlignment w:val="auto"/>
        <w:rPr>
          <w:rFonts w:hint="eastAsia" w:ascii="仿宋_GB2312" w:eastAsia="仿宋_GB2312"/>
          <w:sz w:val="32"/>
          <w:szCs w:val="32"/>
          <w:lang w:eastAsia="zh-CN"/>
        </w:rPr>
      </w:pPr>
      <w:r>
        <w:rPr>
          <w:rFonts w:hint="eastAsia" w:ascii="仿宋_GB2312" w:eastAsia="仿宋_GB2312"/>
          <w:sz w:val="32"/>
          <w:szCs w:val="32"/>
        </w:rPr>
        <w:t>为全区足额为全区农村党员发放经费</w:t>
      </w:r>
      <w:r>
        <w:rPr>
          <w:rFonts w:hint="eastAsia" w:ascii="仿宋_GB2312" w:eastAsia="仿宋_GB2312"/>
          <w:sz w:val="32"/>
          <w:szCs w:val="32"/>
          <w:lang w:eastAsia="zh-CN"/>
        </w:rPr>
        <w:t>，有助于帮助农村基层党组织更好的开展党建活动，体现组织温暖，为更好的组织开展“三会一课”、主题党日、党员教育培训、救助困难党员、慰问老党员等活动</w:t>
      </w:r>
      <w:r>
        <w:rPr>
          <w:rFonts w:hint="eastAsia" w:ascii="仿宋_GB2312" w:eastAsia="仿宋_GB2312"/>
          <w:sz w:val="32"/>
          <w:szCs w:val="32"/>
        </w:rPr>
        <w:t>。</w:t>
      </w:r>
    </w:p>
    <w:p>
      <w:pPr>
        <w:widowControl w:val="0"/>
        <w:wordWrap/>
        <w:adjustRightInd w:val="0"/>
        <w:snapToGrid w:val="0"/>
        <w:spacing w:line="600" w:lineRule="exact"/>
        <w:ind w:firstLine="640" w:firstLineChars="200"/>
        <w:textAlignment w:val="auto"/>
        <w:rPr>
          <w:rFonts w:hint="eastAsia" w:ascii="黑体" w:hAnsi="黑体" w:eastAsia="黑体" w:cs="黑体"/>
          <w:b w:val="0"/>
          <w:bCs w:val="0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b w:val="0"/>
          <w:bCs w:val="0"/>
          <w:sz w:val="32"/>
          <w:szCs w:val="32"/>
          <w:lang w:eastAsia="zh-CN"/>
        </w:rPr>
        <w:t>二、绩效评价工作情况</w:t>
      </w:r>
    </w:p>
    <w:p>
      <w:pPr>
        <w:widowControl w:val="0"/>
        <w:numPr>
          <w:numId w:val="0"/>
        </w:numPr>
        <w:wordWrap/>
        <w:spacing w:line="600" w:lineRule="exact"/>
        <w:ind w:firstLine="640"/>
        <w:textAlignment w:val="auto"/>
        <w:rPr>
          <w:rFonts w:hint="eastAsia" w:ascii="楷体_GB2312" w:hAnsi="楷体_GB2312" w:eastAsia="楷体_GB2312" w:cs="楷体_GB2312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sz w:val="32"/>
          <w:szCs w:val="32"/>
          <w:lang w:val="en-US" w:eastAsia="zh-CN"/>
        </w:rPr>
        <w:t>1.绩效评价的组织工作</w:t>
      </w:r>
    </w:p>
    <w:p>
      <w:pPr>
        <w:widowControl w:val="0"/>
        <w:numPr>
          <w:numId w:val="0"/>
        </w:numPr>
        <w:wordWrap/>
        <w:spacing w:line="600" w:lineRule="exact"/>
        <w:ind w:firstLine="640"/>
        <w:textAlignment w:val="auto"/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</w:pP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成立由区委组织部副部长段鹏任组长、组织科长崔锋任副组长的项目评价小组，</w:t>
      </w:r>
      <w:r>
        <w:rPr>
          <w:rFonts w:hint="default" w:ascii="Times New Roman" w:hAnsi="Times New Roman" w:eastAsia="仿宋_GB2312" w:cs="Times New Roman"/>
          <w:sz w:val="32"/>
          <w:szCs w:val="32"/>
        </w:rPr>
        <w:t>组织管理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评价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工作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，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抽调组织科、组员办专门力量，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全面收集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评价</w:t>
      </w:r>
      <w:r>
        <w:rPr>
          <w:rFonts w:hint="default" w:ascii="Times New Roman" w:hAnsi="Times New Roman" w:eastAsia="仿宋_GB2312" w:cs="Times New Roman"/>
          <w:sz w:val="32"/>
          <w:szCs w:val="32"/>
        </w:rPr>
        <w:t>资料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，</w:t>
      </w:r>
      <w:r>
        <w:rPr>
          <w:rFonts w:hint="default" w:ascii="Times New Roman" w:hAnsi="Times New Roman" w:eastAsia="仿宋_GB2312" w:cs="Times New Roman"/>
          <w:sz w:val="32"/>
          <w:szCs w:val="32"/>
        </w:rPr>
        <w:t>经过对项目资金使用情况核查、项目数据采集、访谈、社会调查等必要的评价程序，运用绩效分析和统计方法，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在科学全面</w:t>
      </w:r>
      <w:r>
        <w:rPr>
          <w:rFonts w:hint="default" w:ascii="Times New Roman" w:hAnsi="Times New Roman" w:eastAsia="仿宋_GB2312" w:cs="Times New Roman"/>
          <w:sz w:val="32"/>
          <w:szCs w:val="32"/>
        </w:rPr>
        <w:t>梳理、分析评价数据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基础上，形成绩效评价报告。</w:t>
      </w:r>
    </w:p>
    <w:p>
      <w:pPr>
        <w:widowControl w:val="0"/>
        <w:numPr>
          <w:numId w:val="0"/>
        </w:numPr>
        <w:wordWrap/>
        <w:spacing w:line="600" w:lineRule="exact"/>
        <w:ind w:firstLine="640"/>
        <w:textAlignment w:val="auto"/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>2.建立绩效评价指标体系</w:t>
      </w:r>
    </w:p>
    <w:p>
      <w:pPr>
        <w:widowControl w:val="0"/>
        <w:numPr>
          <w:numId w:val="0"/>
        </w:numPr>
        <w:wordWrap/>
        <w:adjustRightInd/>
        <w:snapToGrid/>
        <w:spacing w:line="578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1.评价原则：价值中立原则、公正公开透明原则、回避原则</w:t>
      </w:r>
    </w:p>
    <w:p>
      <w:pPr>
        <w:widowControl w:val="0"/>
        <w:numPr>
          <w:numId w:val="0"/>
        </w:numPr>
        <w:wordWrap/>
        <w:adjustRightInd/>
        <w:snapToGrid/>
        <w:spacing w:line="578" w:lineRule="exact"/>
        <w:ind w:firstLine="640" w:firstLineChars="200"/>
        <w:textAlignment w:val="auto"/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2.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采用因素分析方法：采取询问、观察和现场检查相结合，同时辅以数据对比和抽样调查相结合的方式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。</w:t>
      </w:r>
    </w:p>
    <w:p>
      <w:pPr>
        <w:widowControl w:val="0"/>
        <w:numPr>
          <w:numId w:val="0"/>
        </w:numPr>
        <w:wordWrap/>
        <w:adjustRightInd/>
        <w:snapToGrid/>
        <w:spacing w:line="578" w:lineRule="exact"/>
        <w:ind w:firstLine="640" w:firstLineChars="200"/>
        <w:textAlignment w:val="auto"/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3.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根据讨论通过的工作方案及指标需要设计调查问卷，并在评价过程中实施问卷调查，获取被调查对象对于项目实施的满意度情况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。</w:t>
      </w:r>
    </w:p>
    <w:p>
      <w:pPr>
        <w:widowControl w:val="0"/>
        <w:numPr>
          <w:numId w:val="0"/>
        </w:numPr>
        <w:wordWrap/>
        <w:adjustRightInd/>
        <w:snapToGrid/>
        <w:spacing w:line="578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4.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 xml:space="preserve">根据讨论通过的工作方案及指标需要设计基础数据表，并要求被评价单位按基础数据表的要求填写项目信息。 </w:t>
      </w:r>
    </w:p>
    <w:p>
      <w:pPr>
        <w:widowControl w:val="0"/>
        <w:numPr>
          <w:numId w:val="0"/>
        </w:numPr>
        <w:wordWrap/>
        <w:adjustRightInd/>
        <w:snapToGrid/>
        <w:spacing w:line="578" w:lineRule="exact"/>
        <w:ind w:firstLine="640" w:firstLineChars="200"/>
        <w:textAlignment w:val="auto"/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5.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根据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各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项上级文件规定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，采用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观察、检查等方法判断各项规定完成情况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。</w:t>
      </w:r>
    </w:p>
    <w:p>
      <w:pPr>
        <w:widowControl w:val="0"/>
        <w:numPr>
          <w:numId w:val="0"/>
        </w:numPr>
        <w:wordWrap/>
        <w:adjustRightInd/>
        <w:snapToGrid/>
        <w:spacing w:line="578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6.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根据问卷调查、基础数据、现场观察和检查的结果，对项目进行定量和定性两个方面的综合研究分析，并对每项绩效指标进行评分，最后形成绩效评价报告。</w:t>
      </w:r>
    </w:p>
    <w:p>
      <w:pPr>
        <w:rPr>
          <w:rFonts w:hint="eastAsia" w:ascii="黑体" w:hAnsi="黑体" w:eastAsia="黑体" w:cs="黑体"/>
          <w:b/>
          <w:bCs/>
          <w:sz w:val="32"/>
          <w:szCs w:val="32"/>
          <w:lang w:eastAsia="zh-CN"/>
        </w:rPr>
      </w:pPr>
      <w:r>
        <w:rPr>
          <w:rFonts w:hint="eastAsia" w:ascii="仿宋_GB2312" w:eastAsia="仿宋_GB2312"/>
          <w:b/>
          <w:bCs/>
          <w:sz w:val="32"/>
          <w:szCs w:val="32"/>
          <w:lang w:val="en-US" w:eastAsia="zh-CN"/>
        </w:rPr>
        <w:t xml:space="preserve">    </w:t>
      </w:r>
      <w:r>
        <w:rPr>
          <w:rFonts w:hint="eastAsia" w:ascii="黑体" w:hAnsi="黑体" w:eastAsia="黑体" w:cs="黑体"/>
          <w:b w:val="0"/>
          <w:bCs w:val="0"/>
          <w:sz w:val="32"/>
          <w:szCs w:val="32"/>
          <w:lang w:val="en-US" w:eastAsia="zh-CN"/>
        </w:rPr>
        <w:t>三、</w:t>
      </w:r>
      <w:r>
        <w:rPr>
          <w:rFonts w:hint="eastAsia" w:ascii="黑体" w:hAnsi="黑体" w:eastAsia="黑体" w:cs="黑体"/>
          <w:b w:val="0"/>
          <w:bCs w:val="0"/>
          <w:sz w:val="32"/>
          <w:szCs w:val="32"/>
          <w:lang w:eastAsia="zh-CN"/>
        </w:rPr>
        <w:t>项目执行及绩效实现情况</w:t>
      </w:r>
    </w:p>
    <w:p>
      <w:pP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 xml:space="preserve">   （一）项目投入</w:t>
      </w:r>
    </w:p>
    <w:p>
      <w:pPr>
        <w:numPr>
          <w:ilvl w:val="0"/>
          <w:numId w:val="1"/>
        </w:numPr>
        <w:ind w:firstLine="640" w:firstLineChars="200"/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</w:pPr>
      <w:r>
        <w:rPr>
          <w:rFonts w:hint="default" w:ascii="仿宋_GB2312" w:eastAsia="仿宋_GB2312"/>
          <w:b w:val="0"/>
          <w:bCs w:val="0"/>
          <w:sz w:val="32"/>
          <w:szCs w:val="32"/>
          <w:lang w:val="en-US" w:eastAsia="zh-CN"/>
        </w:rPr>
        <w:t>项目</w:t>
      </w: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立项情况分析。</w:t>
      </w:r>
      <w:r>
        <w:rPr>
          <w:rFonts w:hint="eastAsia" w:ascii="宋体" w:hAnsi="宋体" w:eastAsia="仿宋_GB2312"/>
          <w:sz w:val="32"/>
          <w:szCs w:val="32"/>
          <w:highlight w:val="none"/>
          <w:lang w:eastAsia="zh-CN"/>
        </w:rPr>
        <w:t>根据河北省委组织部、省财政厅《关于提高村级组织运转保障水平的意见》（冀组发〔2018〕14号）文件精神和鹿泉区《关于做好村级组织办公经费、村党组织活动经费和服务群众专项经费发放、使用工作的通知》有关要求，综合考虑党员数量、日常活动、集中教育等因素，一般按照每名党员每年不低于200元标准发放村党组织活动经费</w:t>
      </w:r>
      <w:r>
        <w:rPr>
          <w:rFonts w:hint="eastAsia" w:ascii="仿宋_GB2312" w:hAnsi="仿宋_GB2312" w:eastAsia="仿宋_GB2312"/>
          <w:color w:val="000000"/>
          <w:sz w:val="32"/>
          <w:szCs w:val="32"/>
          <w:lang w:eastAsia="zh-CN"/>
        </w:rPr>
        <w:t>。</w:t>
      </w:r>
      <w:r>
        <w:rPr>
          <w:rFonts w:hint="eastAsia" w:ascii="仿宋_GB2312" w:hAnsi="仿宋_GB2312" w:eastAsia="仿宋_GB2312"/>
          <w:color w:val="000000"/>
          <w:sz w:val="32"/>
          <w:szCs w:val="32"/>
          <w:lang w:val="en-US" w:eastAsia="zh-CN"/>
        </w:rPr>
        <w:t xml:space="preserve"> </w:t>
      </w:r>
    </w:p>
    <w:p>
      <w:pPr>
        <w:ind w:firstLine="640" w:firstLineChars="200"/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2.资金落实情况分析。</w:t>
      </w:r>
    </w:p>
    <w:p>
      <w:pPr>
        <w:ind w:firstLine="640" w:firstLineChars="200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资金到位率=</w:t>
      </w:r>
      <w:r>
        <w:rPr>
          <w:rFonts w:hint="eastAsia" w:ascii="仿宋_GB2312" w:hAnsi="仿宋_GB2312" w:eastAsia="仿宋_GB2312" w:cs="仿宋_GB2312"/>
          <w:b w:val="0"/>
          <w:i w:val="0"/>
          <w:color w:val="000000"/>
          <w:sz w:val="32"/>
          <w:szCs w:val="32"/>
          <w:u w:val="none"/>
          <w:shd w:val="clear" w:color="auto" w:fill="FFFFFF"/>
          <w:lang w:eastAsia="zh-CN"/>
        </w:rPr>
        <w:t>（实际到位资金/计划投入资金）×100%</w:t>
      </w:r>
      <w:r>
        <w:rPr>
          <w:rFonts w:hint="eastAsia" w:ascii="仿宋_GB2312" w:hAnsi="仿宋_GB2312" w:eastAsia="仿宋_GB2312" w:cs="仿宋_GB2312"/>
          <w:b w:val="0"/>
          <w:i w:val="0"/>
          <w:color w:val="000000"/>
          <w:sz w:val="32"/>
          <w:szCs w:val="32"/>
          <w:u w:val="none"/>
          <w:shd w:val="clear" w:color="auto" w:fill="FFFFFF"/>
          <w:lang w:val="en-US" w:eastAsia="zh-CN"/>
        </w:rPr>
        <w:t>=100%</w:t>
      </w:r>
    </w:p>
    <w:p>
      <w:pPr>
        <w:ind w:firstLine="640" w:firstLineChars="200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到位及时率=</w:t>
      </w:r>
      <w:r>
        <w:rPr>
          <w:rFonts w:hint="eastAsia" w:ascii="仿宋_GB2312" w:hAnsi="仿宋_GB2312" w:eastAsia="仿宋_GB2312" w:cs="仿宋_GB2312"/>
          <w:b w:val="0"/>
          <w:i w:val="0"/>
          <w:color w:val="000000"/>
          <w:sz w:val="32"/>
          <w:szCs w:val="32"/>
          <w:u w:val="none"/>
          <w:shd w:val="clear" w:color="auto" w:fill="FFFFFF"/>
          <w:lang w:eastAsia="zh-CN"/>
        </w:rPr>
        <w:t>（及时到位资金/应到位资金）×100%</w:t>
      </w:r>
      <w:r>
        <w:rPr>
          <w:rFonts w:hint="eastAsia" w:ascii="仿宋_GB2312" w:hAnsi="仿宋_GB2312" w:eastAsia="仿宋_GB2312" w:cs="仿宋_GB2312"/>
          <w:b w:val="0"/>
          <w:i w:val="0"/>
          <w:color w:val="000000"/>
          <w:sz w:val="32"/>
          <w:szCs w:val="32"/>
          <w:u w:val="none"/>
          <w:shd w:val="clear" w:color="auto" w:fill="FFFFFF"/>
          <w:lang w:val="en-US" w:eastAsia="zh-CN"/>
        </w:rPr>
        <w:t>=100%</w:t>
      </w:r>
    </w:p>
    <w:p>
      <w:pP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 xml:space="preserve">   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>（二）项目实施过程</w:t>
      </w:r>
    </w:p>
    <w:p>
      <w:pPr>
        <w:numPr>
          <w:numId w:val="0"/>
        </w:numPr>
        <w:ind w:firstLine="640" w:firstLineChars="200"/>
        <w:rPr>
          <w:rFonts w:hint="default" w:ascii="仿宋_GB2312" w:eastAsia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1.业务管理情况分析。业务管理制度健全、制度执行有效、项目质量可控，相关资料齐全并归档，人员条件、信息反馈等及时落实到位。</w:t>
      </w:r>
    </w:p>
    <w:p>
      <w:pPr>
        <w:numPr>
          <w:numId w:val="0"/>
        </w:numPr>
        <w:ind w:firstLine="640" w:firstLineChars="200"/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2.财务管理。</w:t>
      </w:r>
      <w:r>
        <w:rPr>
          <w:rFonts w:hint="eastAsia" w:ascii="仿宋_GB2312" w:hAnsi="仿宋_GB2312" w:eastAsia="仿宋_GB2312" w:cs="仿宋_GB2312"/>
          <w:b w:val="0"/>
          <w:i w:val="0"/>
          <w:color w:val="000000"/>
          <w:sz w:val="32"/>
          <w:szCs w:val="32"/>
          <w:u w:val="none"/>
          <w:shd w:val="clear" w:color="auto" w:fill="FFFFFF"/>
          <w:lang w:eastAsia="zh-CN"/>
        </w:rPr>
        <w:t>项目实施单位的财务制度健全，用以反映和考核财务管理制度对资金规范、安全运行的保障情况。</w:t>
      </w: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资金使用合规、财务监控有效，实现了专款专用，资金拨付有完整的审批程序和手续。</w:t>
      </w:r>
    </w:p>
    <w:p>
      <w:pPr>
        <w:numPr>
          <w:numId w:val="0"/>
        </w:numPr>
        <w:rPr>
          <w:rFonts w:hint="eastAsia" w:ascii="仿宋_GB2312" w:eastAsia="仿宋_GB2312"/>
          <w:b/>
          <w:bCs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/>
          <w:bCs/>
          <w:sz w:val="32"/>
          <w:szCs w:val="32"/>
          <w:lang w:val="en-US" w:eastAsia="zh-CN"/>
        </w:rPr>
        <w:t xml:space="preserve">   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>（三）项目产出</w:t>
      </w:r>
    </w:p>
    <w:p>
      <w:pPr>
        <w:numPr>
          <w:numId w:val="0"/>
        </w:numPr>
        <w:ind w:firstLine="640" w:firstLineChars="200"/>
        <w:rPr>
          <w:rFonts w:hint="default" w:ascii="仿宋_GB2312" w:hAnsi="仿宋_GB2312" w:eastAsia="仿宋_GB2312" w:cs="仿宋_GB2312"/>
          <w:b w:val="0"/>
          <w:i w:val="0"/>
          <w:color w:val="000000"/>
          <w:sz w:val="32"/>
          <w:szCs w:val="32"/>
          <w:u w:val="none"/>
          <w:shd w:val="clear" w:color="auto" w:fill="FFFFFF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i w:val="0"/>
          <w:color w:val="000000"/>
          <w:sz w:val="32"/>
          <w:szCs w:val="32"/>
          <w:u w:val="none"/>
          <w:shd w:val="clear" w:color="auto" w:fill="FFFFFF"/>
          <w:lang w:eastAsia="zh-CN"/>
        </w:rPr>
        <w:t>实际完成率=（实际产出数/计划产出数）×100%</w:t>
      </w:r>
      <w:r>
        <w:rPr>
          <w:rFonts w:hint="eastAsia" w:ascii="仿宋_GB2312" w:hAnsi="仿宋_GB2312" w:eastAsia="仿宋_GB2312" w:cs="仿宋_GB2312"/>
          <w:b w:val="0"/>
          <w:i w:val="0"/>
          <w:color w:val="000000"/>
          <w:sz w:val="32"/>
          <w:szCs w:val="32"/>
          <w:u w:val="none"/>
          <w:shd w:val="clear" w:color="auto" w:fill="FFFFFF"/>
          <w:lang w:val="en-US" w:eastAsia="zh-CN"/>
        </w:rPr>
        <w:t>=100%；</w:t>
      </w:r>
    </w:p>
    <w:p>
      <w:pPr>
        <w:numPr>
          <w:numId w:val="0"/>
        </w:numPr>
        <w:ind w:firstLine="640" w:firstLineChars="200"/>
        <w:rPr>
          <w:rFonts w:hint="default" w:ascii="仿宋_GB2312" w:hAnsi="仿宋_GB2312" w:eastAsia="仿宋_GB2312" w:cs="仿宋_GB2312"/>
          <w:b w:val="0"/>
          <w:i w:val="0"/>
          <w:color w:val="000000"/>
          <w:sz w:val="32"/>
          <w:szCs w:val="32"/>
          <w:u w:val="none"/>
          <w:shd w:val="clear" w:color="auto" w:fill="FFFFFF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i w:val="0"/>
          <w:color w:val="000000"/>
          <w:sz w:val="32"/>
          <w:szCs w:val="32"/>
          <w:u w:val="none"/>
          <w:shd w:val="clear" w:color="auto" w:fill="FFFFFF"/>
          <w:lang w:eastAsia="zh-CN"/>
        </w:rPr>
        <w:t>完成及时率=[（计划完成时间-实际完成时间）/计划完成时间]×100%</w:t>
      </w:r>
      <w:r>
        <w:rPr>
          <w:rFonts w:hint="eastAsia" w:ascii="仿宋_GB2312" w:hAnsi="仿宋_GB2312" w:eastAsia="仿宋_GB2312" w:cs="仿宋_GB2312"/>
          <w:b w:val="0"/>
          <w:i w:val="0"/>
          <w:color w:val="000000"/>
          <w:sz w:val="32"/>
          <w:szCs w:val="32"/>
          <w:u w:val="none"/>
          <w:shd w:val="clear" w:color="auto" w:fill="FFFFFF"/>
          <w:lang w:val="en-US" w:eastAsia="zh-CN"/>
        </w:rPr>
        <w:t>=100%；</w:t>
      </w:r>
    </w:p>
    <w:p>
      <w:pPr>
        <w:numPr>
          <w:numId w:val="0"/>
        </w:numPr>
        <w:ind w:firstLine="640" w:firstLineChars="200"/>
        <w:rPr>
          <w:rFonts w:hint="eastAsia" w:ascii="仿宋_GB2312" w:hAnsi="仿宋_GB2312" w:eastAsia="仿宋_GB2312" w:cs="仿宋_GB2312"/>
          <w:b w:val="0"/>
          <w:i w:val="0"/>
          <w:color w:val="000000"/>
          <w:sz w:val="32"/>
          <w:szCs w:val="32"/>
          <w:u w:val="none"/>
          <w:shd w:val="clear" w:color="auto" w:fill="FFFFFF"/>
          <w:lang w:eastAsia="zh-CN"/>
        </w:rPr>
      </w:pPr>
      <w:r>
        <w:rPr>
          <w:rFonts w:hint="eastAsia" w:ascii="仿宋_GB2312" w:hAnsi="仿宋_GB2312" w:eastAsia="仿宋_GB2312" w:cs="仿宋_GB2312"/>
          <w:b w:val="0"/>
          <w:i w:val="0"/>
          <w:color w:val="000000"/>
          <w:sz w:val="32"/>
          <w:szCs w:val="32"/>
          <w:u w:val="none"/>
          <w:shd w:val="clear" w:color="auto" w:fill="FFFFFF"/>
          <w:lang w:eastAsia="zh-CN"/>
        </w:rPr>
        <w:t>质量达标率=（质量达标产出数/实际产出数）×100%</w:t>
      </w:r>
      <w:r>
        <w:rPr>
          <w:rFonts w:hint="eastAsia" w:ascii="仿宋_GB2312" w:hAnsi="仿宋_GB2312" w:eastAsia="仿宋_GB2312" w:cs="仿宋_GB2312"/>
          <w:b w:val="0"/>
          <w:i w:val="0"/>
          <w:color w:val="000000"/>
          <w:sz w:val="32"/>
          <w:szCs w:val="32"/>
          <w:u w:val="none"/>
          <w:shd w:val="clear" w:color="auto" w:fill="FFFFFF"/>
          <w:lang w:val="en-US" w:eastAsia="zh-CN"/>
        </w:rPr>
        <w:t>=100%</w:t>
      </w:r>
      <w:r>
        <w:rPr>
          <w:rFonts w:hint="eastAsia" w:ascii="仿宋_GB2312" w:hAnsi="仿宋_GB2312" w:eastAsia="仿宋_GB2312" w:cs="仿宋_GB2312"/>
          <w:b w:val="0"/>
          <w:i w:val="0"/>
          <w:color w:val="000000"/>
          <w:sz w:val="32"/>
          <w:szCs w:val="32"/>
          <w:u w:val="none"/>
          <w:shd w:val="clear" w:color="auto" w:fill="FFFFFF"/>
          <w:lang w:eastAsia="zh-CN"/>
        </w:rPr>
        <w:t>。</w:t>
      </w:r>
    </w:p>
    <w:p>
      <w:pPr>
        <w:numPr>
          <w:numId w:val="0"/>
        </w:numPr>
        <w:ind w:firstLine="640" w:firstLineChars="200"/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成本节约率=[（计划成本-实际成本）/计划成本]×100%=30%。</w:t>
      </w:r>
    </w:p>
    <w:p>
      <w:pPr>
        <w:numPr>
          <w:numId w:val="0"/>
        </w:numP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/>
          <w:bCs/>
          <w:sz w:val="32"/>
          <w:szCs w:val="32"/>
          <w:lang w:val="en-US" w:eastAsia="zh-CN"/>
        </w:rPr>
        <w:t xml:space="preserve">   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>（四）项目效果</w:t>
      </w:r>
    </w:p>
    <w:p>
      <w:pPr>
        <w:widowControl w:val="0"/>
        <w:wordWrap/>
        <w:spacing w:line="600" w:lineRule="exact"/>
        <w:ind w:firstLine="640" w:firstLineChars="200"/>
        <w:textAlignment w:val="auto"/>
        <w:rPr>
          <w:rFonts w:hint="eastAsia" w:ascii="仿宋_GB2312" w:eastAsia="仿宋_GB2312"/>
          <w:sz w:val="32"/>
          <w:szCs w:val="32"/>
          <w:lang w:eastAsia="zh-CN"/>
        </w:rPr>
      </w:pPr>
      <w:r>
        <w:rPr>
          <w:rFonts w:hint="eastAsia" w:ascii="仿宋_GB2312" w:eastAsia="仿宋_GB2312"/>
          <w:sz w:val="32"/>
          <w:szCs w:val="32"/>
          <w:lang w:eastAsia="zh-CN"/>
        </w:rPr>
        <w:t>通过</w:t>
      </w:r>
      <w:r>
        <w:rPr>
          <w:rFonts w:hint="eastAsia" w:ascii="仿宋_GB2312" w:eastAsia="仿宋_GB2312"/>
          <w:sz w:val="32"/>
          <w:szCs w:val="32"/>
        </w:rPr>
        <w:t>为全区足额为全区农村党员发放经费</w:t>
      </w:r>
      <w:r>
        <w:rPr>
          <w:rFonts w:hint="eastAsia" w:ascii="仿宋_GB2312" w:eastAsia="仿宋_GB2312"/>
          <w:sz w:val="32"/>
          <w:szCs w:val="32"/>
          <w:lang w:eastAsia="zh-CN"/>
        </w:rPr>
        <w:t>，有助于帮助农村基层党组织更好的开展党建活动，体现组织温暖，为更好的组织开展“三会一课”、主题党日、党员教育培训、救助困难党员、慰问老党员等活动</w:t>
      </w:r>
      <w:r>
        <w:rPr>
          <w:rFonts w:hint="eastAsia" w:ascii="仿宋_GB2312" w:eastAsia="仿宋_GB2312"/>
          <w:sz w:val="32"/>
          <w:szCs w:val="32"/>
        </w:rPr>
        <w:t>。</w:t>
      </w:r>
    </w:p>
    <w:p>
      <w:pPr>
        <w:numPr>
          <w:numId w:val="0"/>
        </w:numPr>
        <w:ind w:firstLine="640" w:firstLineChars="200"/>
        <w:rPr>
          <w:rFonts w:hint="eastAsia" w:ascii="黑体" w:hAnsi="黑体" w:eastAsia="黑体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黑体" w:hAnsi="黑体" w:eastAsia="黑体"/>
          <w:b w:val="0"/>
          <w:bCs w:val="0"/>
          <w:sz w:val="32"/>
          <w:szCs w:val="32"/>
          <w:lang w:val="en-US" w:eastAsia="zh-CN"/>
        </w:rPr>
        <w:t>四、项目综合评价结论和评价等级</w:t>
      </w:r>
    </w:p>
    <w:p>
      <w:pPr>
        <w:numPr>
          <w:numId w:val="0"/>
        </w:numPr>
        <w:ind w:firstLine="640" w:firstLineChars="200"/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根据项目执行情况和项目绩效情况，总得分</w:t>
      </w:r>
      <w:r>
        <w:rPr>
          <w:rFonts w:hint="default" w:ascii="Arial" w:hAnsi="Arial" w:eastAsia="仿宋_GB2312" w:cs="Arial"/>
          <w:sz w:val="32"/>
          <w:szCs w:val="32"/>
        </w:rPr>
        <w:t>≥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90</w:t>
      </w:r>
      <w:r>
        <w:rPr>
          <w:rFonts w:hint="eastAsia" w:ascii="仿宋_GB2312" w:eastAsia="仿宋_GB2312"/>
          <w:sz w:val="32"/>
          <w:szCs w:val="32"/>
        </w:rPr>
        <w:t>分</w:t>
      </w:r>
      <w:r>
        <w:rPr>
          <w:rFonts w:hint="eastAsia" w:ascii="仿宋_GB2312" w:eastAsia="仿宋_GB2312"/>
          <w:sz w:val="32"/>
          <w:szCs w:val="32"/>
          <w:lang w:eastAsia="zh-CN"/>
        </w:rPr>
        <w:t>，</w:t>
      </w:r>
      <w:r>
        <w:rPr>
          <w:rFonts w:hint="eastAsia" w:ascii="仿宋_GB2312" w:eastAsia="仿宋_GB2312"/>
          <w:sz w:val="32"/>
          <w:szCs w:val="32"/>
        </w:rPr>
        <w:t>优秀。</w:t>
      </w:r>
    </w:p>
    <w:p>
      <w:pPr>
        <w:adjustRightInd w:val="0"/>
        <w:snapToGrid w:val="0"/>
        <w:spacing w:line="360" w:lineRule="auto"/>
        <w:ind w:firstLine="640" w:firstLineChars="200"/>
        <w:rPr>
          <w:rFonts w:hint="eastAsia" w:ascii="黑体" w:eastAsia="黑体"/>
          <w:b w:val="0"/>
          <w:bCs w:val="0"/>
          <w:sz w:val="32"/>
          <w:szCs w:val="32"/>
          <w:lang w:eastAsia="zh-CN"/>
        </w:rPr>
      </w:pPr>
    </w:p>
    <w:p>
      <w:r>
        <w:rPr>
          <w:rFonts w:hint="eastAsia" w:ascii="黑体" w:eastAsia="黑体"/>
          <w:b w:val="0"/>
          <w:bCs w:val="0"/>
          <w:sz w:val="32"/>
          <w:szCs w:val="32"/>
          <w:lang w:val="en-US" w:eastAsia="zh-CN"/>
        </w:rPr>
        <w:t xml:space="preserve"> </w:t>
      </w:r>
    </w:p>
    <w:sectPr>
      <w:headerReference r:id="rId4" w:type="first"/>
      <w:footerReference r:id="rId7" w:type="first"/>
      <w:footerReference r:id="rId5" w:type="default"/>
      <w:footerReference r:id="rId6" w:type="even"/>
      <w:pgSz w:w="11906" w:h="16838"/>
      <w:pgMar w:top="1361" w:right="1644" w:bottom="1361" w:left="1644" w:header="851" w:footer="992" w:gutter="0"/>
      <w:pgNumType w:fmt="decimal"/>
      <w:cols w:space="720" w:num="1"/>
      <w:titlePg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00007A87" w:usb1="80000000" w:usb2="00000008" w:usb3="00000000" w:csb0="400001FF" w:csb1="FFFF0000"/>
  </w:font>
  <w:font w:name="宋体">
    <w:panose1 w:val="02010600030101010101"/>
    <w:charset w:val="86"/>
    <w:family w:val="auto"/>
    <w:pitch w:val="default"/>
    <w:sig w:usb0="00000003" w:usb1="080E0000" w:usb2="00000000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00007A87" w:usb1="80000000" w:usb2="00000008" w:usb3="00000000" w:csb0="400001FF" w:csb1="FFFF0000"/>
  </w:font>
  <w:font w:name="黑体">
    <w:panose1 w:val="02010600030101010101"/>
    <w:charset w:val="86"/>
    <w:family w:val="auto"/>
    <w:pitch w:val="default"/>
    <w:sig w:usb0="00000001" w:usb1="080E0000" w:usb2="00000000" w:usb3="00000000" w:csb0="00040000" w:csb1="00000000"/>
  </w:font>
  <w:font w:name="Courier New">
    <w:panose1 w:val="02070309020205020404"/>
    <w:charset w:val="01"/>
    <w:family w:val="modern"/>
    <w:pitch w:val="default"/>
    <w:sig w:usb0="00007A87" w:usb1="80000000" w:usb2="00000008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Segoe UI"/>
    <w:panose1 w:val="020F0502020204030204"/>
    <w:charset w:val="00"/>
    <w:family w:val="auto"/>
    <w:pitch w:val="default"/>
    <w:sig w:usb0="E00002FF" w:usb1="4000ACFF" w:usb2="00000001" w:usb3="00000000" w:csb0="2000019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华文楷体">
    <w:altName w:val="宋体"/>
    <w:panose1 w:val="02010600040101010101"/>
    <w:charset w:val="86"/>
    <w:family w:val="auto"/>
    <w:pitch w:val="default"/>
    <w:sig w:usb0="00000000" w:usb1="00000000" w:usb2="00000010" w:usb3="00000000" w:csb0="0004009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Segoe UI">
    <w:panose1 w:val="020B0502040204020203"/>
    <w:charset w:val="00"/>
    <w:family w:val="auto"/>
    <w:pitch w:val="default"/>
    <w:sig w:usb0="E10022FF" w:usb1="C000E47F" w:usb2="00000029" w:usb3="00000000" w:csb0="200001DF" w:csb1="2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pStyle w:val="2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pStyle w:val="2"/>
      <w:framePr w:wrap="around" w:vAnchor="text" w:hAnchor="margin" w:xAlign="right" w:y="1"/>
      <w:rPr>
        <w:rStyle w:val="6"/>
      </w:rPr>
    </w:pPr>
    <w:r>
      <w:fldChar w:fldCharType="begin"/>
    </w:r>
    <w:r>
      <w:rPr>
        <w:rStyle w:val="6"/>
      </w:rPr>
      <w:instrText xml:space="preserve">PAGE  </w:instrText>
    </w:r>
    <w:r>
      <w:fldChar w:fldCharType="separate"/>
    </w:r>
    <w:r>
      <w:rPr>
        <w:rStyle w:val="6"/>
      </w:rPr>
      <w:t>4</w:t>
    </w:r>
    <w:r>
      <w:fldChar w:fldCharType="end"/>
    </w:r>
  </w:p>
  <w:p>
    <w:pPr>
      <w:pStyle w:val="2"/>
      <w:ind w:right="36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pStyle w:val="2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pStyle w:val="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1578368648">
    <w:nsid w:val="5E13FE88"/>
    <w:multiLevelType w:val="singleLevel"/>
    <w:tmpl w:val="5E13FE88"/>
    <w:lvl w:ilvl="0" w:tentative="1">
      <w:start w:val="1"/>
      <w:numFmt w:val="decimal"/>
      <w:suff w:val="nothing"/>
      <w:lvlText w:val="%1."/>
      <w:lvlJc w:val="left"/>
    </w:lvl>
  </w:abstractNum>
  <w:num w:numId="1">
    <w:abstractNumId w:val="157836864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useNormalStyleForList/>
    <w:allowSpaceOfSameStyleInTable/>
    <w:doNotSuppressIndentation/>
    <w:doNotAutofitConstrainedTables/>
    <w:autofitToFirstFixedWidthCell/>
    <w:displayHangulFixedWidth/>
    <w:doNotVertAlignCellWithSp/>
    <w:doNotBreakConstrainedForcedTable/>
    <w:doNotVertAlignInTxbx/>
    <w:useAnsiKerningPairs/>
    <w:cachedColBalance/>
  </w:compat>
  <w:rsids>
    <w:rsidRoot w:val="2A2941B7"/>
    <w:rsid w:val="00023C99"/>
    <w:rsid w:val="006F3114"/>
    <w:rsid w:val="019D5A10"/>
    <w:rsid w:val="03B73A34"/>
    <w:rsid w:val="04486396"/>
    <w:rsid w:val="045C66B2"/>
    <w:rsid w:val="04BA4B10"/>
    <w:rsid w:val="04C0608D"/>
    <w:rsid w:val="05063C02"/>
    <w:rsid w:val="06174EB3"/>
    <w:rsid w:val="07365867"/>
    <w:rsid w:val="085255FD"/>
    <w:rsid w:val="08CA6584"/>
    <w:rsid w:val="095B0F26"/>
    <w:rsid w:val="0AE14712"/>
    <w:rsid w:val="0B7A4561"/>
    <w:rsid w:val="0C0F3080"/>
    <w:rsid w:val="0DF26BA8"/>
    <w:rsid w:val="0FB5086D"/>
    <w:rsid w:val="0FB91D7E"/>
    <w:rsid w:val="0FCB459D"/>
    <w:rsid w:val="0FDA6722"/>
    <w:rsid w:val="100B1EEE"/>
    <w:rsid w:val="10C9636A"/>
    <w:rsid w:val="12190B60"/>
    <w:rsid w:val="126F79C5"/>
    <w:rsid w:val="129B1980"/>
    <w:rsid w:val="131A0BB6"/>
    <w:rsid w:val="133D60CF"/>
    <w:rsid w:val="13CD23CB"/>
    <w:rsid w:val="14BE273E"/>
    <w:rsid w:val="15C74DDA"/>
    <w:rsid w:val="15DC195B"/>
    <w:rsid w:val="1619677A"/>
    <w:rsid w:val="16A52217"/>
    <w:rsid w:val="16C03F56"/>
    <w:rsid w:val="16EA74D3"/>
    <w:rsid w:val="18DB5831"/>
    <w:rsid w:val="19C95AFD"/>
    <w:rsid w:val="1A057F52"/>
    <w:rsid w:val="1A317259"/>
    <w:rsid w:val="1ACA74BE"/>
    <w:rsid w:val="1C2D77F2"/>
    <w:rsid w:val="1C3F2C02"/>
    <w:rsid w:val="1C7C3B72"/>
    <w:rsid w:val="1D490334"/>
    <w:rsid w:val="1DB83A50"/>
    <w:rsid w:val="1F4B2D32"/>
    <w:rsid w:val="1FEF09B4"/>
    <w:rsid w:val="21B47D70"/>
    <w:rsid w:val="22340133"/>
    <w:rsid w:val="22CB44CD"/>
    <w:rsid w:val="23C03F30"/>
    <w:rsid w:val="241341EC"/>
    <w:rsid w:val="24542DE3"/>
    <w:rsid w:val="258C6338"/>
    <w:rsid w:val="262A198B"/>
    <w:rsid w:val="265651AC"/>
    <w:rsid w:val="269C683A"/>
    <w:rsid w:val="27BF565A"/>
    <w:rsid w:val="2A2941B7"/>
    <w:rsid w:val="2C4C410E"/>
    <w:rsid w:val="2C8B00D8"/>
    <w:rsid w:val="2CCE6C7C"/>
    <w:rsid w:val="2D0A1852"/>
    <w:rsid w:val="2D3A6576"/>
    <w:rsid w:val="2DB0469F"/>
    <w:rsid w:val="2E5D37EE"/>
    <w:rsid w:val="304130C8"/>
    <w:rsid w:val="33B06D02"/>
    <w:rsid w:val="3512162C"/>
    <w:rsid w:val="35337162"/>
    <w:rsid w:val="36926D34"/>
    <w:rsid w:val="36CA6225"/>
    <w:rsid w:val="37733D6E"/>
    <w:rsid w:val="37881211"/>
    <w:rsid w:val="37A802CB"/>
    <w:rsid w:val="39052600"/>
    <w:rsid w:val="39526D49"/>
    <w:rsid w:val="3A865C03"/>
    <w:rsid w:val="3AD50316"/>
    <w:rsid w:val="3CB92104"/>
    <w:rsid w:val="3E3A4072"/>
    <w:rsid w:val="3E9E7CFF"/>
    <w:rsid w:val="3F3057A8"/>
    <w:rsid w:val="3F696300"/>
    <w:rsid w:val="3F707DEC"/>
    <w:rsid w:val="40516DC1"/>
    <w:rsid w:val="410E0A86"/>
    <w:rsid w:val="418F53A1"/>
    <w:rsid w:val="438E2648"/>
    <w:rsid w:val="449E4A6A"/>
    <w:rsid w:val="452065B4"/>
    <w:rsid w:val="45C66607"/>
    <w:rsid w:val="46B76F15"/>
    <w:rsid w:val="479A122C"/>
    <w:rsid w:val="483B461F"/>
    <w:rsid w:val="48F5643E"/>
    <w:rsid w:val="49F21561"/>
    <w:rsid w:val="4B9E63C5"/>
    <w:rsid w:val="4BF446B9"/>
    <w:rsid w:val="4DF34C10"/>
    <w:rsid w:val="4E7E14DB"/>
    <w:rsid w:val="4ED2102D"/>
    <w:rsid w:val="4EDA3907"/>
    <w:rsid w:val="509B5B48"/>
    <w:rsid w:val="51716DA8"/>
    <w:rsid w:val="520A364A"/>
    <w:rsid w:val="520A4705"/>
    <w:rsid w:val="52642B01"/>
    <w:rsid w:val="53EE05A4"/>
    <w:rsid w:val="543009E3"/>
    <w:rsid w:val="5432172F"/>
    <w:rsid w:val="55C414DE"/>
    <w:rsid w:val="586B3BE7"/>
    <w:rsid w:val="58F761B7"/>
    <w:rsid w:val="5AF40498"/>
    <w:rsid w:val="5B8553CD"/>
    <w:rsid w:val="5BCC6015"/>
    <w:rsid w:val="5BD90BF1"/>
    <w:rsid w:val="5C1B6916"/>
    <w:rsid w:val="5DB56DF6"/>
    <w:rsid w:val="5DE61E77"/>
    <w:rsid w:val="5E080BE1"/>
    <w:rsid w:val="5E30437E"/>
    <w:rsid w:val="5EA10C6B"/>
    <w:rsid w:val="5F387044"/>
    <w:rsid w:val="5F68145D"/>
    <w:rsid w:val="5F7B6D3D"/>
    <w:rsid w:val="5FC4005D"/>
    <w:rsid w:val="60A90D43"/>
    <w:rsid w:val="60F2141D"/>
    <w:rsid w:val="61D35B9F"/>
    <w:rsid w:val="632F3158"/>
    <w:rsid w:val="635B6D70"/>
    <w:rsid w:val="64106397"/>
    <w:rsid w:val="659C19C7"/>
    <w:rsid w:val="67533D27"/>
    <w:rsid w:val="69F606AF"/>
    <w:rsid w:val="6B3602F4"/>
    <w:rsid w:val="6B707BAB"/>
    <w:rsid w:val="6CC34E97"/>
    <w:rsid w:val="6D3D4F4F"/>
    <w:rsid w:val="6D8C29C6"/>
    <w:rsid w:val="6DDD4A87"/>
    <w:rsid w:val="6EFC51A7"/>
    <w:rsid w:val="6FD80F94"/>
    <w:rsid w:val="709B593C"/>
    <w:rsid w:val="7100273F"/>
    <w:rsid w:val="71EF120B"/>
    <w:rsid w:val="72C15939"/>
    <w:rsid w:val="73B13683"/>
    <w:rsid w:val="74A67385"/>
    <w:rsid w:val="75747C1C"/>
    <w:rsid w:val="77A72631"/>
    <w:rsid w:val="79C1634F"/>
    <w:rsid w:val="7AEC77BE"/>
    <w:rsid w:val="7B506B8A"/>
    <w:rsid w:val="7B527D55"/>
    <w:rsid w:val="7D287476"/>
    <w:rsid w:val="7EFC6B4E"/>
    <w:rsid w:val="7F8C10DE"/>
  </w:rsids>
  <w:shapeDefaults>
    <o:shapedefaults fillcolor="#9CBEE0" fill="t" stroke="t">
      <v:fill type="gradient" on="t" color2="#BBD5F0" focus="0%" focussize="0f,0f" focusposition="0f,0f">
        <o:fill type="gradientUnscaled" v:ext="backwardCompatible"/>
      </v:fill>
      <v:stroke weight="1.25pt" color="#739CC3" color2="#FFFFFF" miterlimit="2"/>
    </o:shapedefaults>
  </w:shapeDefaults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  <w:lang w:val="en-US" w:eastAsia="zh-CN" w:bidi="ar-SA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黑体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link w:val="5"/>
    <w:semiHidden/>
    <w:qFormat/>
    <w:uiPriority w:val="0"/>
  </w:style>
  <w:style w:type="table" w:default="1" w:styleId="7">
    <w:name w:val="Normal Table"/>
    <w:semiHidden/>
    <w:qFormat/>
    <w:uiPriority w:val="0"/>
    <w:tblPr>
      <w:tblStyle w:val="7"/>
      <w:tblLayout w:type="fixed"/>
      <w:tblCellMar>
        <w:top w:w="0" w:type="dxa"/>
        <w:left w:w="108" w:type="dxa"/>
        <w:bottom w:w="0" w:type="dxa"/>
        <w:right w:w="108" w:type="dxa"/>
      </w:tblCellMar>
    </w:tblPr>
    <w:tcPr>
      <w:textDirection w:val="lrTb"/>
    </w:tc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rFonts w:ascii="Times New Roman" w:hAnsi="Times New Roman"/>
      <w:sz w:val="18"/>
    </w:rPr>
  </w:style>
  <w:style w:type="paragraph" w:customStyle="1" w:styleId="5">
    <w:name w:val="默认段落字体 Para Char Char Char Char Char Char Char"/>
    <w:basedOn w:val="1"/>
    <w:link w:val="4"/>
    <w:qFormat/>
    <w:uiPriority w:val="0"/>
  </w:style>
  <w:style w:type="character" w:styleId="6">
    <w:name w:val="page number"/>
    <w:basedOn w:val="4"/>
    <w:qFormat/>
    <w:uiPriority w:val="0"/>
    <w:rPr/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customXml" Target="../customXml/item1.xml"/><Relationship Id="rId8" Type="http://schemas.openxmlformats.org/officeDocument/2006/relationships/theme" Target="theme/theme1.xml"/><Relationship Id="rId7" Type="http://schemas.openxmlformats.org/officeDocument/2006/relationships/footer" Target="footer3.xml"/><Relationship Id="rId6" Type="http://schemas.openxmlformats.org/officeDocument/2006/relationships/footer" Target="footer2.xml"/><Relationship Id="rId5" Type="http://schemas.openxmlformats.org/officeDocument/2006/relationships/footer" Target="footer1.xml"/><Relationship Id="rId4" Type="http://schemas.openxmlformats.org/officeDocument/2006/relationships/header" Target="header1.xml"/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0" Type="http://schemas.openxmlformats.org/officeDocument/2006/relationships/numbering" Target="numbering.xml"/><Relationship Id="rId1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Arab" typeface="Times New Roman"/>
        <a:font script="Beng" typeface="Vrinda"/>
        <a:font script="Cans" typeface="Euphemia"/>
        <a:font script="Cher" typeface="Plantagenet Cherokee"/>
        <a:font script="Deva" typeface="Mangal"/>
        <a:font script="Ethi" typeface="Nyala"/>
        <a:font script="Geor" typeface="Sylfaen"/>
        <a:font script="Gujr" typeface="Shruti"/>
        <a:font script="Guru" typeface="Raavi"/>
        <a:font script="Hang" typeface="맑은 고딕"/>
        <a:font script="Hans" typeface="宋体"/>
        <a:font script="Hant" typeface="新細明體"/>
        <a:font script="Hebr" typeface="Times New Roman"/>
        <a:font script="Jpan" typeface="ＭＳ Ｐゴシック"/>
        <a:font script="Khmr" typeface="MoolBoran"/>
        <a:font script="Knda" typeface="Tunga"/>
        <a:font script="Laoo" typeface="DokChampa"/>
        <a:font script="Mlym" typeface="Kartika"/>
        <a:font script="Mong" typeface="Mongolian Baiti"/>
        <a:font script="Orya" typeface="Kalinga"/>
        <a:font script="Sinh" typeface="Iskoola Pota"/>
        <a:font script="Syrc" typeface="Estrangelo Edessa"/>
        <a:font script="Taml" typeface="Latha"/>
        <a:font script="Telu" typeface="Gautami"/>
        <a:font script="Thaa" typeface="MV Boli"/>
        <a:font script="Thai" typeface="Tahoma"/>
        <a:font script="Tibt" typeface="Microsoft Himalaya"/>
        <a:font script="Uigh" typeface="Microsoft Uighur"/>
        <a:font script="Viet" typeface="Times New Roman"/>
        <a:font script="Yiii" typeface="Microsoft Yi Baiti"/>
      </a:majorFont>
      <a:minorFont>
        <a:latin typeface="Calibri"/>
        <a:ea typeface=""/>
        <a:cs typeface=""/>
        <a:font script="Arab" typeface="Arial"/>
        <a:font script="Beng" typeface="Vrinda"/>
        <a:font script="Cans" typeface="Euphemia"/>
        <a:font script="Cher" typeface="Plantagenet Cherokee"/>
        <a:font script="Deva" typeface="Mangal"/>
        <a:font script="Ethi" typeface="Nyala"/>
        <a:font script="Geor" typeface="Sylfaen"/>
        <a:font script="Gujr" typeface="Shruti"/>
        <a:font script="Guru" typeface="Raavi"/>
        <a:font script="Hang" typeface="맑은 고딕"/>
        <a:font script="Hans" typeface="宋体"/>
        <a:font script="Hant" typeface="新細明體"/>
        <a:font script="Hebr" typeface="Arial"/>
        <a:font script="Jpan" typeface="ＭＳ Ｐゴシック"/>
        <a:font script="Khmr" typeface="DaunPenh"/>
        <a:font script="Knda" typeface="Tunga"/>
        <a:font script="Laoo" typeface="DokChampa"/>
        <a:font script="Mlym" typeface="Kartika"/>
        <a:font script="Mong" typeface="Mongolian Baiti"/>
        <a:font script="Orya" typeface="Kalinga"/>
        <a:font script="Sinh" typeface="Iskoola Pota"/>
        <a:font script="Syrc" typeface="Estrangelo Edessa"/>
        <a:font script="Taml" typeface="Latha"/>
        <a:font script="Telu" typeface="Gautami"/>
        <a:font script="Thaa" typeface="MV Boli"/>
        <a:font script="Thai" typeface="Tahoma"/>
        <a:font script="Tibt" typeface="Microsoft Himalaya"/>
        <a:font script="Uigh" typeface="Microsoft Uighur"/>
        <a:font script="Viet" typeface="Arial"/>
        <a:font script="Yiii" typeface="Microsoft Yi Baiti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 专业版_9.1.0.5012_F1E327BC-269C-435d-A152-05C5408002CA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2020-01-02T08:14:00Z</dcterms:created>
  <dc:creator>838</dc:creator>
  <cp:lastModifiedBy>jsure</cp:lastModifiedBy>
  <cp:lastPrinted>2020-01-06T07:00:00Z</cp:lastPrinted>
  <dcterms:modified xsi:type="dcterms:W3CDTF">2020-01-07T05:01:54Z</dcterms:modified>
  <dc:title>非公企业和社会组织党建工作经费项目</dc:title>
  <cp:revision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2052-9.1.0.5012</vt:lpwstr>
  </property>
</Properties>
</file>