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line="360" w:lineRule="auto"/>
        <w:ind w:left="0" w:leftChars="0" w:right="0" w:firstLine="0" w:firstLineChars="0"/>
        <w:jc w:val="both"/>
        <w:rPr>
          <w:rFonts w:hint="eastAsia" w:ascii="华文楷体" w:eastAsia="华文楷体"/>
          <w:sz w:val="32"/>
          <w:szCs w:val="32"/>
          <w:lang w:eastAsia="zh-CN"/>
        </w:rPr>
      </w:pPr>
      <w:r>
        <w:rPr>
          <w:rFonts w:hint="eastAsia" w:ascii="宋体" w:hAnsi="宋体" w:cs="宋体"/>
          <w:b/>
          <w:bCs/>
          <w:sz w:val="36"/>
          <w:szCs w:val="36"/>
          <w:lang w:val="en-US" w:eastAsia="zh-CN"/>
        </w:rPr>
        <w:t xml:space="preserve">           </w:t>
      </w:r>
      <w:r>
        <w:rPr>
          <w:rFonts w:hint="eastAsia" w:ascii="宋体" w:hAnsi="宋体" w:eastAsia="宋体" w:cs="宋体"/>
          <w:b/>
          <w:bCs/>
          <w:sz w:val="36"/>
          <w:szCs w:val="36"/>
          <w:lang w:eastAsia="zh-CN"/>
        </w:rPr>
        <w:t>政协</w:t>
      </w:r>
      <w:r>
        <w:rPr>
          <w:rFonts w:hint="eastAsia" w:ascii="宋体" w:hAnsi="宋体" w:cs="宋体"/>
          <w:b/>
          <w:bCs/>
          <w:sz w:val="36"/>
          <w:szCs w:val="36"/>
          <w:lang w:eastAsia="zh-CN"/>
        </w:rPr>
        <w:t>公务接待费</w:t>
      </w:r>
      <w:r>
        <w:rPr>
          <w:rFonts w:hint="eastAsia" w:ascii="宋体"/>
          <w:b/>
          <w:bCs/>
          <w:sz w:val="36"/>
          <w:szCs w:val="36"/>
          <w:lang w:eastAsia="zh-CN"/>
        </w:rPr>
        <w:t>项目</w:t>
      </w:r>
      <w:r>
        <w:rPr>
          <w:rFonts w:hint="eastAsia" w:ascii="宋体"/>
          <w:b/>
          <w:bCs/>
          <w:sz w:val="36"/>
          <w:szCs w:val="36"/>
        </w:rPr>
        <w:t>绩效评价报告</w:t>
      </w:r>
    </w:p>
    <w:p>
      <w:pPr>
        <w:adjustRightInd w:val="0"/>
        <w:snapToGrid w:val="0"/>
        <w:spacing w:line="360" w:lineRule="auto"/>
        <w:rPr>
          <w:rFonts w:hint="eastAsia" w:ascii="仿宋" w:hAnsi="仿宋" w:eastAsia="仿宋" w:cs="仿宋"/>
          <w:sz w:val="28"/>
          <w:szCs w:val="28"/>
        </w:rPr>
      </w:pPr>
    </w:p>
    <w:p>
      <w:pPr>
        <w:adjustRightInd w:val="0"/>
        <w:snapToGrid w:val="0"/>
        <w:spacing w:line="360" w:lineRule="auto"/>
        <w:rPr>
          <w:rFonts w:hint="eastAsia" w:ascii="仿宋" w:hAnsi="仿宋" w:eastAsia="仿宋" w:cs="仿宋"/>
          <w:sz w:val="24"/>
          <w:szCs w:val="28"/>
        </w:rPr>
      </w:pPr>
      <w:r>
        <w:rPr>
          <w:rFonts w:hint="eastAsia" w:ascii="仿宋" w:hAnsi="仿宋" w:eastAsia="仿宋" w:cs="仿宋"/>
          <w:sz w:val="28"/>
          <w:szCs w:val="28"/>
          <w:lang w:val="en-US" w:eastAsia="zh-CN"/>
        </w:rPr>
        <w:t xml:space="preserve">   </w:t>
      </w:r>
      <w:r>
        <w:rPr>
          <w:rFonts w:hint="eastAsia" w:ascii="仿宋" w:hAnsi="仿宋" w:eastAsia="仿宋" w:cs="仿宋"/>
          <w:sz w:val="24"/>
          <w:szCs w:val="28"/>
        </w:rPr>
        <w:t>根据《</w:t>
      </w:r>
      <w:r>
        <w:rPr>
          <w:rFonts w:hint="eastAsia" w:ascii="仿宋" w:hAnsi="仿宋" w:eastAsia="仿宋" w:cs="仿宋"/>
          <w:sz w:val="24"/>
          <w:szCs w:val="28"/>
          <w:lang w:eastAsia="zh-CN"/>
        </w:rPr>
        <w:t>石家庄市鹿泉区区级部门预算绩效管理办法</w:t>
      </w:r>
      <w:r>
        <w:rPr>
          <w:rFonts w:hint="eastAsia" w:ascii="仿宋" w:hAnsi="仿宋" w:eastAsia="仿宋" w:cs="仿宋"/>
          <w:sz w:val="24"/>
          <w:szCs w:val="28"/>
        </w:rPr>
        <w:t>》</w:t>
      </w:r>
      <w:r>
        <w:rPr>
          <w:rFonts w:hint="eastAsia" w:ascii="仿宋" w:hAnsi="仿宋" w:eastAsia="仿宋" w:cs="仿宋"/>
          <w:sz w:val="24"/>
          <w:szCs w:val="28"/>
          <w:lang w:eastAsia="zh-CN"/>
        </w:rPr>
        <w:t>（鹿</w:t>
      </w:r>
      <w:r>
        <w:rPr>
          <w:rFonts w:hint="eastAsia" w:ascii="仿宋" w:hAnsi="仿宋" w:eastAsia="仿宋" w:cs="仿宋"/>
          <w:sz w:val="24"/>
          <w:szCs w:val="28"/>
          <w:lang w:val="en-US" w:eastAsia="zh-CN"/>
        </w:rPr>
        <w:t>财字[2019]65号）</w:t>
      </w:r>
      <w:r>
        <w:rPr>
          <w:rFonts w:hint="eastAsia" w:ascii="仿宋" w:hAnsi="仿宋" w:eastAsia="仿宋" w:cs="仿宋"/>
          <w:sz w:val="24"/>
          <w:szCs w:val="28"/>
        </w:rPr>
        <w:t>，遵循“科学性、规范性、客观性和公正性”的原则，对</w:t>
      </w:r>
      <w:r>
        <w:rPr>
          <w:rFonts w:hint="eastAsia" w:ascii="仿宋" w:hAnsi="仿宋" w:eastAsia="仿宋" w:cs="仿宋"/>
          <w:sz w:val="24"/>
          <w:szCs w:val="28"/>
          <w:lang w:val="en-US" w:eastAsia="zh-CN"/>
        </w:rPr>
        <w:t xml:space="preserve">2019年度 </w:t>
      </w:r>
      <w:r>
        <w:rPr>
          <w:rFonts w:hint="default" w:ascii="仿宋" w:hAnsi="仿宋" w:eastAsia="仿宋" w:cs="仿宋"/>
          <w:sz w:val="24"/>
          <w:szCs w:val="28"/>
          <w:lang w:val="en-US" w:eastAsia="zh-CN"/>
        </w:rPr>
        <w:t>“</w:t>
      </w:r>
      <w:r>
        <w:rPr>
          <w:rFonts w:hint="eastAsia" w:ascii="仿宋" w:hAnsi="仿宋" w:eastAsia="仿宋" w:cs="仿宋"/>
          <w:sz w:val="24"/>
          <w:szCs w:val="28"/>
          <w:lang w:val="en-US" w:eastAsia="zh-CN"/>
        </w:rPr>
        <w:t>公务接待</w:t>
      </w:r>
      <w:r>
        <w:rPr>
          <w:rFonts w:hint="eastAsia" w:ascii="仿宋" w:hAnsi="仿宋" w:eastAsia="仿宋" w:cs="仿宋"/>
          <w:sz w:val="24"/>
          <w:szCs w:val="28"/>
          <w:lang w:eastAsia="zh-CN"/>
        </w:rPr>
        <w:t>费</w:t>
      </w:r>
      <w:r>
        <w:rPr>
          <w:rFonts w:hint="default" w:ascii="仿宋" w:hAnsi="仿宋" w:eastAsia="仿宋" w:cs="仿宋"/>
          <w:sz w:val="24"/>
          <w:szCs w:val="28"/>
          <w:lang w:val="en-US" w:eastAsia="zh-CN"/>
        </w:rPr>
        <w:t>”</w:t>
      </w:r>
      <w:r>
        <w:rPr>
          <w:rFonts w:hint="eastAsia" w:ascii="仿宋" w:hAnsi="仿宋" w:eastAsia="仿宋" w:cs="仿宋"/>
          <w:sz w:val="24"/>
          <w:szCs w:val="28"/>
          <w:lang w:eastAsia="zh-CN"/>
        </w:rPr>
        <w:t>项目</w:t>
      </w:r>
      <w:r>
        <w:rPr>
          <w:rFonts w:hint="eastAsia" w:ascii="仿宋" w:hAnsi="仿宋" w:eastAsia="仿宋" w:cs="仿宋"/>
          <w:sz w:val="24"/>
          <w:szCs w:val="28"/>
        </w:rPr>
        <w:t>实施了</w:t>
      </w:r>
      <w:r>
        <w:rPr>
          <w:rFonts w:hint="eastAsia" w:ascii="仿宋" w:hAnsi="仿宋" w:eastAsia="仿宋" w:cs="仿宋"/>
          <w:sz w:val="24"/>
          <w:szCs w:val="28"/>
          <w:lang w:eastAsia="zh-CN"/>
        </w:rPr>
        <w:t>绩效</w:t>
      </w:r>
      <w:r>
        <w:rPr>
          <w:rFonts w:hint="eastAsia" w:ascii="仿宋" w:hAnsi="仿宋" w:eastAsia="仿宋" w:cs="仿宋"/>
          <w:sz w:val="24"/>
          <w:szCs w:val="28"/>
        </w:rPr>
        <w:t>评价，形成本评价报告。</w:t>
      </w:r>
    </w:p>
    <w:p>
      <w:pPr>
        <w:adjustRightInd w:val="0"/>
        <w:snapToGrid w:val="0"/>
        <w:spacing w:line="360" w:lineRule="auto"/>
        <w:rPr>
          <w:rFonts w:hint="eastAsia" w:ascii="黑体" w:eastAsia="黑体"/>
          <w:b/>
          <w:bCs/>
          <w:sz w:val="28"/>
          <w:szCs w:val="28"/>
        </w:rPr>
      </w:pPr>
      <w:r>
        <w:rPr>
          <w:rFonts w:hint="eastAsia" w:ascii="黑体" w:eastAsia="黑体"/>
          <w:sz w:val="32"/>
          <w:szCs w:val="32"/>
          <w:lang w:val="en-US" w:eastAsia="zh-CN"/>
        </w:rPr>
        <w:t xml:space="preserve">    </w:t>
      </w:r>
      <w:r>
        <w:rPr>
          <w:rFonts w:hint="eastAsia" w:ascii="黑体" w:eastAsia="黑体"/>
          <w:b w:val="0"/>
          <w:bCs w:val="0"/>
          <w:sz w:val="28"/>
          <w:szCs w:val="28"/>
        </w:rPr>
        <w:t>一、</w:t>
      </w:r>
      <w:r>
        <w:rPr>
          <w:rFonts w:hint="eastAsia" w:ascii="黑体" w:eastAsia="黑体"/>
          <w:b w:val="0"/>
          <w:bCs w:val="0"/>
          <w:sz w:val="28"/>
          <w:szCs w:val="28"/>
          <w:lang w:eastAsia="zh-CN"/>
        </w:rPr>
        <w:t>项目</w:t>
      </w:r>
      <w:r>
        <w:rPr>
          <w:rFonts w:hint="eastAsia" w:ascii="黑体" w:eastAsia="黑体"/>
          <w:b w:val="0"/>
          <w:bCs w:val="0"/>
          <w:sz w:val="28"/>
          <w:szCs w:val="28"/>
        </w:rPr>
        <w:t>基本情况</w:t>
      </w:r>
    </w:p>
    <w:p>
      <w:pPr>
        <w:adjustRightInd w:val="0"/>
        <w:snapToGrid w:val="0"/>
        <w:spacing w:line="360" w:lineRule="auto"/>
        <w:ind w:firstLine="640" w:firstLineChars="200"/>
        <w:rPr>
          <w:rFonts w:hint="eastAsia" w:ascii="仿宋" w:hAnsi="仿宋" w:eastAsia="仿宋" w:cs="仿宋"/>
          <w:b w:val="0"/>
          <w:bCs w:val="0"/>
          <w:sz w:val="28"/>
          <w:szCs w:val="28"/>
        </w:rPr>
      </w:pPr>
      <w:r>
        <w:rPr>
          <w:rFonts w:hint="eastAsia" w:ascii="仿宋" w:hAnsi="仿宋" w:eastAsia="仿宋" w:cs="仿宋"/>
          <w:b w:val="0"/>
          <w:bCs w:val="0"/>
          <w:sz w:val="28"/>
          <w:szCs w:val="28"/>
        </w:rPr>
        <w:t>（一）项目概况</w:t>
      </w:r>
    </w:p>
    <w:p>
      <w:pPr>
        <w:adjustRightInd w:val="0"/>
        <w:snapToGrid w:val="0"/>
        <w:spacing w:line="360" w:lineRule="auto"/>
        <w:ind w:firstLine="640" w:firstLineChars="200"/>
        <w:rPr>
          <w:rFonts w:hint="eastAsia" w:ascii="仿宋" w:hAnsi="仿宋" w:eastAsia="仿宋" w:cs="仿宋"/>
          <w:sz w:val="24"/>
          <w:szCs w:val="28"/>
          <w:lang w:val="zh-CN"/>
        </w:rPr>
      </w:pPr>
      <w:r>
        <w:rPr>
          <w:rFonts w:hint="eastAsia" w:ascii="仿宋" w:hAnsi="仿宋" w:eastAsia="仿宋" w:cs="仿宋"/>
          <w:sz w:val="24"/>
          <w:szCs w:val="32"/>
          <w:lang w:val="en-US" w:eastAsia="zh-CN"/>
        </w:rPr>
        <w:t xml:space="preserve"> </w:t>
      </w:r>
      <w:r>
        <w:rPr>
          <w:rFonts w:hint="eastAsia" w:ascii="仿宋" w:hAnsi="仿宋" w:eastAsia="仿宋" w:cs="仿宋"/>
          <w:sz w:val="24"/>
          <w:szCs w:val="28"/>
        </w:rPr>
        <w:t>1</w:t>
      </w:r>
      <w:r>
        <w:rPr>
          <w:rFonts w:hint="eastAsia" w:ascii="仿宋" w:hAnsi="仿宋" w:eastAsia="仿宋" w:cs="仿宋"/>
          <w:sz w:val="24"/>
          <w:szCs w:val="28"/>
          <w:lang w:val="en-US" w:eastAsia="zh-CN"/>
        </w:rPr>
        <w:t>.为发挥政协政治协商、民主监督、参政议政职能，努力发挥协商民主重要渠道和专门协商机构作用，为推动鹿泉区经济建设和民主政治建设，增强政协凝聚力，扩大政协影响力，</w:t>
      </w:r>
      <w:r>
        <w:rPr>
          <w:rFonts w:hint="eastAsia" w:ascii="仿宋" w:hAnsi="仿宋" w:eastAsia="仿宋" w:cs="仿宋"/>
          <w:sz w:val="24"/>
          <w:szCs w:val="28"/>
          <w:lang w:val="zh-CN"/>
        </w:rPr>
        <w:t>根据《中国人民政治协商会议章程》，及区委、政府工作安排</w:t>
      </w:r>
      <w:r>
        <w:rPr>
          <w:rFonts w:hint="eastAsia" w:ascii="仿宋" w:hAnsi="仿宋" w:eastAsia="仿宋" w:cs="仿宋"/>
          <w:sz w:val="24"/>
          <w:szCs w:val="28"/>
          <w:lang w:val="en-US" w:eastAsia="zh-CN"/>
        </w:rPr>
        <w:t>2019年区财政局预算安排“公务接待</w:t>
      </w:r>
      <w:r>
        <w:rPr>
          <w:rFonts w:hint="eastAsia" w:ascii="仿宋" w:hAnsi="仿宋" w:eastAsia="仿宋" w:cs="仿宋"/>
          <w:sz w:val="24"/>
          <w:szCs w:val="28"/>
          <w:lang w:eastAsia="zh-CN"/>
        </w:rPr>
        <w:t>费</w:t>
      </w:r>
      <w:r>
        <w:rPr>
          <w:rFonts w:hint="eastAsia" w:ascii="仿宋" w:hAnsi="仿宋" w:eastAsia="仿宋" w:cs="仿宋"/>
          <w:sz w:val="24"/>
          <w:szCs w:val="28"/>
          <w:lang w:val="en-US" w:eastAsia="zh-CN"/>
        </w:rPr>
        <w:t>”5万元，项目执行期为2019年1月1日至2019年12月31日。</w:t>
      </w:r>
    </w:p>
    <w:p>
      <w:pPr>
        <w:adjustRightInd w:val="0"/>
        <w:snapToGrid w:val="0"/>
        <w:spacing w:line="360" w:lineRule="auto"/>
        <w:ind w:firstLine="640" w:firstLineChars="200"/>
        <w:rPr>
          <w:rFonts w:hint="eastAsia" w:ascii="仿宋" w:hAnsi="仿宋" w:eastAsia="仿宋" w:cs="仿宋"/>
          <w:sz w:val="24"/>
          <w:szCs w:val="28"/>
          <w:lang w:val="en-US" w:eastAsia="zh-CN"/>
        </w:rPr>
      </w:pPr>
      <w:r>
        <w:rPr>
          <w:rFonts w:hint="eastAsia" w:ascii="仿宋" w:hAnsi="仿宋" w:eastAsia="仿宋" w:cs="仿宋"/>
          <w:sz w:val="24"/>
          <w:szCs w:val="28"/>
          <w:lang w:val="en-US" w:eastAsia="zh-CN"/>
        </w:rPr>
        <w:t xml:space="preserve"> 2.2019年区政协公务接待</w:t>
      </w:r>
      <w:r>
        <w:rPr>
          <w:rFonts w:hint="eastAsia" w:ascii="仿宋" w:hAnsi="仿宋" w:eastAsia="仿宋" w:cs="仿宋"/>
          <w:sz w:val="24"/>
          <w:szCs w:val="28"/>
          <w:lang w:eastAsia="zh-CN"/>
        </w:rPr>
        <w:t>费</w:t>
      </w:r>
      <w:r>
        <w:rPr>
          <w:rFonts w:hint="eastAsia" w:ascii="仿宋" w:hAnsi="仿宋" w:eastAsia="仿宋" w:cs="仿宋"/>
          <w:sz w:val="24"/>
          <w:szCs w:val="28"/>
          <w:lang w:val="en-US" w:eastAsia="zh-CN"/>
        </w:rPr>
        <w:t>主要用于区政协接待各级政协来我区委员开展的专题调研、研讨活动和其他专题活动的经费支出</w:t>
      </w:r>
    </w:p>
    <w:p>
      <w:pPr>
        <w:adjustRightInd w:val="0"/>
        <w:snapToGrid w:val="0"/>
        <w:spacing w:line="360" w:lineRule="auto"/>
        <w:ind w:firstLine="640" w:firstLineChars="200"/>
        <w:rPr>
          <w:rFonts w:hint="eastAsia" w:ascii="仿宋_GB2312" w:eastAsia="仿宋"/>
          <w:sz w:val="24"/>
          <w:szCs w:val="32"/>
          <w:lang w:val="en-US" w:eastAsia="zh-CN"/>
        </w:rPr>
      </w:pPr>
      <w:r>
        <w:rPr>
          <w:rFonts w:hint="eastAsia" w:ascii="仿宋_GB2312" w:eastAsia="仿宋"/>
          <w:sz w:val="24"/>
          <w:szCs w:val="32"/>
          <w:lang w:val="en-US" w:eastAsia="zh-CN"/>
        </w:rPr>
        <w:t>3.鹿泉区2019年财政预算安排“</w:t>
      </w:r>
      <w:r>
        <w:rPr>
          <w:rFonts w:hint="eastAsia" w:ascii="仿宋" w:hAnsi="仿宋" w:eastAsia="仿宋" w:cs="仿宋"/>
          <w:sz w:val="24"/>
          <w:szCs w:val="28"/>
          <w:lang w:val="en-US" w:eastAsia="zh-CN"/>
        </w:rPr>
        <w:t>公务接待</w:t>
      </w:r>
      <w:r>
        <w:rPr>
          <w:rFonts w:hint="eastAsia" w:ascii="仿宋" w:hAnsi="仿宋" w:eastAsia="仿宋" w:cs="仿宋"/>
          <w:sz w:val="24"/>
          <w:szCs w:val="28"/>
          <w:lang w:eastAsia="zh-CN"/>
        </w:rPr>
        <w:t>费</w:t>
      </w:r>
      <w:r>
        <w:rPr>
          <w:rFonts w:hint="eastAsia" w:ascii="仿宋_GB2312" w:eastAsia="仿宋"/>
          <w:sz w:val="24"/>
          <w:szCs w:val="32"/>
          <w:lang w:val="en-US" w:eastAsia="zh-CN"/>
        </w:rPr>
        <w:t>”5万元。实际到位经费5万元，资金到位率100%，实际支出0.74万元。项目经费专款专用，主要用于</w:t>
      </w:r>
      <w:r>
        <w:rPr>
          <w:rFonts w:hint="eastAsia" w:ascii="仿宋" w:hAnsi="仿宋" w:eastAsia="仿宋" w:cs="仿宋"/>
          <w:sz w:val="24"/>
          <w:szCs w:val="28"/>
          <w:lang w:val="en-US" w:eastAsia="zh-CN"/>
        </w:rPr>
        <w:t>区政协接待各级政协来我区委员开展的专题调研、研讨活动和其他专题活动的经费支出</w:t>
      </w:r>
      <w:r>
        <w:rPr>
          <w:rFonts w:hint="eastAsia" w:ascii="仿宋_GB2312" w:eastAsia="仿宋"/>
          <w:sz w:val="24"/>
          <w:szCs w:val="32"/>
          <w:lang w:val="en-US" w:eastAsia="zh-CN"/>
        </w:rPr>
        <w:t>。资金使用符合国家财经法规和财务制度的规定，资金拨付审批规范，手续完整，项目资金使用做到按照年度预算批复用途使用。</w:t>
      </w:r>
    </w:p>
    <w:p>
      <w:pPr>
        <w:numPr>
          <w:numId w:val="0"/>
        </w:numPr>
        <w:adjustRightInd w:val="0"/>
        <w:snapToGrid w:val="0"/>
        <w:spacing w:line="360" w:lineRule="auto"/>
        <w:rPr>
          <w:rFonts w:hint="eastAsia" w:ascii="仿宋" w:hAnsi="仿宋" w:eastAsia="仿宋" w:cs="仿宋"/>
          <w:b/>
          <w:bCs/>
          <w:sz w:val="28"/>
          <w:szCs w:val="28"/>
        </w:rPr>
      </w:pPr>
      <w:r>
        <w:rPr>
          <w:rFonts w:hint="eastAsia" w:ascii="仿宋" w:hAnsi="仿宋" w:eastAsia="仿宋" w:cs="仿宋"/>
          <w:b w:val="0"/>
          <w:bCs w:val="0"/>
          <w:sz w:val="28"/>
          <w:szCs w:val="28"/>
        </w:rPr>
        <w:t>（二）项目</w:t>
      </w:r>
      <w:r>
        <w:rPr>
          <w:rFonts w:hint="eastAsia" w:ascii="仿宋" w:hAnsi="仿宋" w:eastAsia="仿宋" w:cs="仿宋"/>
          <w:b w:val="0"/>
          <w:bCs w:val="0"/>
          <w:sz w:val="28"/>
          <w:szCs w:val="28"/>
          <w:lang w:eastAsia="zh-CN"/>
        </w:rPr>
        <w:t>预期</w:t>
      </w:r>
      <w:r>
        <w:rPr>
          <w:rFonts w:hint="eastAsia" w:ascii="仿宋" w:hAnsi="仿宋" w:eastAsia="仿宋" w:cs="仿宋"/>
          <w:b w:val="0"/>
          <w:bCs w:val="0"/>
          <w:sz w:val="28"/>
          <w:szCs w:val="28"/>
        </w:rPr>
        <w:t>绩效目标</w:t>
      </w:r>
    </w:p>
    <w:p>
      <w:pPr>
        <w:tabs>
          <w:tab w:val="left" w:pos="554"/>
        </w:tabs>
        <w:adjustRightInd w:val="0"/>
        <w:snapToGrid w:val="0"/>
        <w:spacing w:line="360" w:lineRule="auto"/>
        <w:ind w:firstLine="640" w:firstLineChars="200"/>
        <w:rPr>
          <w:rFonts w:hint="eastAsia" w:ascii="仿宋_GB2312" w:eastAsia="仿宋"/>
          <w:sz w:val="24"/>
          <w:szCs w:val="24"/>
          <w:lang w:eastAsia="zh-CN"/>
        </w:rPr>
      </w:pPr>
      <w:r>
        <w:rPr>
          <w:rFonts w:hint="eastAsia" w:ascii="仿宋_GB2312" w:eastAsia="仿宋"/>
          <w:sz w:val="24"/>
          <w:szCs w:val="24"/>
          <w:lang w:eastAsia="zh-CN"/>
        </w:rPr>
        <w:tab/>
      </w:r>
      <w:r>
        <w:rPr>
          <w:rFonts w:hint="eastAsia" w:ascii="仿宋_GB2312" w:eastAsia="仿宋"/>
          <w:sz w:val="24"/>
          <w:szCs w:val="24"/>
          <w:lang w:eastAsia="zh-CN"/>
        </w:rPr>
        <w:t>保障区政协各项接待活动，充分发挥协商民主重要渠道和专门协商机构作用，委员通过专题调研对于我区重大工作积极建言献策、开展政治协商，通过交流收取资料、提案、建议为推动鹿泉经济建设、民生改善、社会和谐和民主政治建设作出积极贡献，增强政协凝聚力，扩大政协的影响力。</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firstLine="0" w:firstLineChars="0"/>
        <w:jc w:val="both"/>
        <w:rPr>
          <w:rFonts w:hint="eastAsia" w:ascii="仿宋" w:hAnsi="仿宋" w:eastAsia="仿宋" w:cs="仿宋"/>
          <w:sz w:val="28"/>
          <w:szCs w:val="28"/>
          <w:lang w:val="en-US" w:eastAsia="zh-CN"/>
        </w:rPr>
      </w:pPr>
      <w:r>
        <w:rPr>
          <w:rFonts w:hint="eastAsia" w:ascii="仿宋_GB2312" w:eastAsia="仿宋_GB2312"/>
          <w:sz w:val="32"/>
          <w:szCs w:val="32"/>
          <w:lang w:val="en-US" w:eastAsia="zh-CN"/>
        </w:rPr>
        <w:t xml:space="preserve">   </w:t>
      </w:r>
      <w:r>
        <w:rPr>
          <w:rFonts w:hint="eastAsia" w:ascii="仿宋" w:hAnsi="仿宋" w:eastAsia="仿宋" w:cs="仿宋"/>
          <w:b w:val="0"/>
          <w:bCs w:val="0"/>
          <w:sz w:val="28"/>
          <w:szCs w:val="28"/>
          <w:lang w:val="en-US" w:eastAsia="zh-CN"/>
        </w:rPr>
        <w:t>（一）绩效评价的组织工作</w:t>
      </w:r>
    </w:p>
    <w:p>
      <w:pPr>
        <w:numPr>
          <w:numId w:val="0"/>
        </w:numPr>
        <w:rPr>
          <w:rFonts w:hint="eastAsia" w:ascii="仿宋_GB2312" w:eastAsia="仿宋"/>
          <w:sz w:val="24"/>
          <w:szCs w:val="32"/>
        </w:rPr>
      </w:pPr>
      <w:r>
        <w:rPr>
          <w:rFonts w:hint="eastAsia" w:ascii="仿宋_GB2312" w:eastAsia="仿宋_GB2312"/>
          <w:sz w:val="32"/>
          <w:szCs w:val="32"/>
          <w:lang w:val="en-US" w:eastAsia="zh-CN"/>
        </w:rPr>
        <w:t xml:space="preserve">  </w:t>
      </w:r>
      <w:r>
        <w:rPr>
          <w:rFonts w:hint="eastAsia" w:ascii="仿宋_GB2312" w:eastAsia="仿宋"/>
          <w:sz w:val="24"/>
          <w:szCs w:val="32"/>
          <w:lang w:val="en-US" w:eastAsia="zh-CN"/>
        </w:rPr>
        <w:t xml:space="preserve"> </w:t>
      </w:r>
      <w:r>
        <w:rPr>
          <w:rFonts w:hint="eastAsia" w:ascii="仿宋" w:hAnsi="仿宋" w:eastAsia="仿宋" w:cs="仿宋"/>
          <w:sz w:val="24"/>
          <w:szCs w:val="32"/>
          <w:lang w:val="en-US" w:eastAsia="zh-CN"/>
        </w:rPr>
        <w:t xml:space="preserve"> 该项目由区政协办公室自行组织评价，列入2019年区政协全会会议有区政协办公室、区政协提案委员会、区政协经济技术委员会、区政协学习宣传文史委员会</w:t>
      </w:r>
      <w:r>
        <w:rPr>
          <w:rFonts w:hint="eastAsia" w:ascii="仿宋_GB2312" w:eastAsia="仿宋"/>
          <w:sz w:val="24"/>
          <w:szCs w:val="32"/>
          <w:lang w:val="en-US" w:eastAsia="zh-CN"/>
        </w:rPr>
        <w:t>，核实项目资金5万元，项目资金抽查覆盖利率达100%。</w:t>
      </w:r>
    </w:p>
    <w:p>
      <w:pPr>
        <w:ind w:left="0" w:leftChars="0" w:right="0" w:firstLine="0" w:firstLineChars="0"/>
        <w:jc w:val="both"/>
        <w:rPr>
          <w:rFonts w:hint="eastAsia" w:ascii="仿宋" w:hAnsi="仿宋" w:eastAsia="仿宋" w:cs="仿宋"/>
          <w:b w:val="0"/>
          <w:bCs w:val="0"/>
          <w:sz w:val="28"/>
          <w:szCs w:val="28"/>
          <w:lang w:val="en-US" w:eastAsia="zh-CN"/>
        </w:rPr>
      </w:pPr>
      <w:r>
        <w:rPr>
          <w:rFonts w:hint="eastAsia" w:ascii="仿宋_GB2312" w:eastAsia="仿宋_GB2312"/>
          <w:b/>
          <w:bCs/>
          <w:sz w:val="32"/>
          <w:szCs w:val="32"/>
          <w:lang w:val="en-US" w:eastAsia="zh-CN"/>
        </w:rPr>
        <w:t xml:space="preserve">   </w:t>
      </w:r>
      <w:r>
        <w:rPr>
          <w:rFonts w:hint="eastAsia" w:ascii="仿宋" w:hAnsi="仿宋" w:eastAsia="仿宋" w:cs="仿宋"/>
          <w:b w:val="0"/>
          <w:bCs w:val="0"/>
          <w:sz w:val="28"/>
          <w:szCs w:val="28"/>
          <w:lang w:val="en-US" w:eastAsia="zh-CN"/>
        </w:rPr>
        <w:t>（二）绩效评价的方法和过程</w:t>
      </w:r>
    </w:p>
    <w:p>
      <w:pPr>
        <w:ind w:left="0" w:leftChars="0" w:right="0" w:firstLine="0" w:firstLineChars="0"/>
        <w:jc w:val="both"/>
        <w:rPr>
          <w:rFonts w:hint="eastAsia" w:ascii="仿宋" w:hAnsi="仿宋" w:eastAsia="仿宋" w:cs="仿宋"/>
          <w:b w:val="0"/>
          <w:bCs w:val="0"/>
          <w:sz w:val="24"/>
          <w:szCs w:val="28"/>
          <w:lang w:val="en-US" w:eastAsia="zh-CN"/>
        </w:rPr>
      </w:pPr>
      <w:r>
        <w:rPr>
          <w:rFonts w:hint="eastAsia" w:ascii="仿宋" w:hAnsi="仿宋" w:eastAsia="仿宋" w:cs="仿宋"/>
          <w:b w:val="0"/>
          <w:bCs w:val="0"/>
          <w:sz w:val="24"/>
          <w:szCs w:val="28"/>
          <w:lang w:val="en-US" w:eastAsia="zh-CN"/>
        </w:rPr>
        <w:t xml:space="preserve">       针对本项目实际情况，通过座谈调研、查阅项目管理制度、财务管理制度、对委员电话回访等形式，采用比较分析法，辅以公众评判对本项目专项资金使用情况进行绩效评价。</w:t>
      </w:r>
    </w:p>
    <w:p>
      <w:pPr>
        <w:numPr>
          <w:numId w:val="0"/>
        </w:numPr>
        <w:ind w:leftChars="0" w:right="0"/>
        <w:jc w:val="both"/>
        <w:rPr>
          <w:rFonts w:hint="eastAsia" w:ascii="仿宋" w:hAnsi="仿宋" w:eastAsia="仿宋" w:cs="仿宋"/>
          <w:b w:val="0"/>
          <w:bCs w:val="0"/>
          <w:sz w:val="28"/>
          <w:szCs w:val="28"/>
          <w:lang w:val="en-US" w:eastAsia="zh-CN"/>
        </w:rPr>
      </w:pPr>
      <w:r>
        <w:rPr>
          <w:rFonts w:hint="eastAsia" w:ascii="楷体_GB2312" w:hAnsi="楷体_GB2312" w:eastAsia="楷体_GB2312" w:cs="楷体_GB2312"/>
          <w:b/>
          <w:bCs/>
          <w:sz w:val="32"/>
          <w:szCs w:val="32"/>
          <w:lang w:val="en-US" w:eastAsia="zh-CN"/>
        </w:rPr>
        <w:t xml:space="preserve">   </w:t>
      </w:r>
      <w:r>
        <w:rPr>
          <w:rFonts w:hint="eastAsia" w:ascii="仿宋" w:hAnsi="仿宋" w:eastAsia="仿宋" w:cs="仿宋"/>
          <w:b w:val="0"/>
          <w:bCs w:val="0"/>
          <w:sz w:val="28"/>
          <w:szCs w:val="28"/>
          <w:lang w:val="en-US" w:eastAsia="zh-CN"/>
        </w:rPr>
        <w:t>（三）建立绩效评价指标体系</w:t>
      </w:r>
    </w:p>
    <w:p>
      <w:pPr>
        <w:ind w:firstLine="640" w:firstLineChars="200"/>
        <w:jc w:val="both"/>
        <w:rPr>
          <w:rFonts w:hint="eastAsia" w:ascii="仿宋_GB2312" w:eastAsia="仿宋"/>
          <w:sz w:val="24"/>
          <w:szCs w:val="32"/>
          <w:lang w:val="en-US" w:eastAsia="zh-CN"/>
        </w:rPr>
      </w:pPr>
      <w:r>
        <w:rPr>
          <w:rFonts w:hint="eastAsia" w:ascii="仿宋_GB2312" w:eastAsia="仿宋"/>
          <w:b w:val="0"/>
          <w:bCs w:val="0"/>
          <w:sz w:val="24"/>
          <w:szCs w:val="32"/>
          <w:lang w:val="en-US" w:eastAsia="zh-CN"/>
        </w:rPr>
        <w:t>根据区财政局要求，对绩效指标评价体系分为投入、过程、产出、效果4个一级指标，设置评分值100分，其中投入15分、过程20分、产出30分、效果35分。细化为项目立项、资金落实、业务管理、财务管理、项目产出、项目效益6个二级指标，同时根据区政协公务接待项目特点，设计符合本项目特点的13个三级指标。从区政协公务接待费项目立项规范性、绩效指标明确性、资金到位率、业务制度健全性、业务制度执行有效性、财务管理制度健全性、资金使用合规性、财务监控有效性、从实际完成接待工作情况、接待范围、严格执行中央八项规定方面、后带来的社会效应、可持续性影响、通过参家活动各级政协委员满意度调查等17个指标这三级指标构成完整绩效评价体系。</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仿宋" w:hAnsi="仿宋" w:eastAsia="仿宋" w:cs="仿宋"/>
          <w:b w:val="0"/>
          <w:bCs w:val="0"/>
          <w:sz w:val="28"/>
          <w:szCs w:val="28"/>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 w:hAnsi="仿宋" w:eastAsia="仿宋" w:cs="仿宋"/>
          <w:b w:val="0"/>
          <w:bCs w:val="0"/>
          <w:sz w:val="28"/>
          <w:szCs w:val="28"/>
          <w:lang w:val="en-US" w:eastAsia="zh-CN"/>
        </w:rPr>
        <w:t>（一）项目投入</w:t>
      </w:r>
    </w:p>
    <w:p>
      <w:pPr>
        <w:numPr>
          <w:ilvl w:val="0"/>
          <w:numId w:val="1"/>
        </w:numPr>
        <w:ind w:firstLine="640" w:firstLineChars="200"/>
        <w:rPr>
          <w:rFonts w:hint="eastAsia" w:ascii="仿宋_GB2312" w:eastAsia="仿宋"/>
          <w:b w:val="0"/>
          <w:bCs w:val="0"/>
          <w:sz w:val="24"/>
          <w:szCs w:val="32"/>
          <w:lang w:val="en-US" w:eastAsia="zh-CN"/>
        </w:rPr>
      </w:pPr>
      <w:r>
        <w:rPr>
          <w:rFonts w:hint="default" w:ascii="仿宋_GB2312" w:eastAsia="仿宋"/>
          <w:b w:val="0"/>
          <w:bCs w:val="0"/>
          <w:sz w:val="24"/>
          <w:szCs w:val="32"/>
          <w:lang w:val="en-US" w:eastAsia="zh-CN"/>
        </w:rPr>
        <w:t>项目</w:t>
      </w:r>
      <w:r>
        <w:rPr>
          <w:rFonts w:hint="eastAsia" w:ascii="仿宋_GB2312" w:eastAsia="仿宋"/>
          <w:b w:val="0"/>
          <w:bCs w:val="0"/>
          <w:sz w:val="24"/>
          <w:szCs w:val="32"/>
          <w:lang w:val="en-US" w:eastAsia="zh-CN"/>
        </w:rPr>
        <w:t>立项情况分析。</w:t>
      </w:r>
    </w:p>
    <w:p>
      <w:pPr>
        <w:numPr>
          <w:numId w:val="0"/>
        </w:numPr>
        <w:rPr>
          <w:rFonts w:hint="eastAsia" w:ascii="仿宋_GB2312" w:eastAsia="仿宋"/>
          <w:b w:val="0"/>
          <w:bCs w:val="0"/>
          <w:sz w:val="24"/>
          <w:szCs w:val="32"/>
          <w:lang w:val="en-US" w:eastAsia="zh-CN"/>
        </w:rPr>
      </w:pPr>
      <w:r>
        <w:rPr>
          <w:rFonts w:hint="eastAsia" w:ascii="仿宋_GB2312" w:eastAsia="仿宋"/>
          <w:b w:val="0"/>
          <w:bCs w:val="0"/>
          <w:sz w:val="24"/>
          <w:szCs w:val="32"/>
          <w:lang w:val="en-US" w:eastAsia="zh-CN"/>
        </w:rPr>
        <w:t xml:space="preserve">         项目立项方面满分9分，得9分。该项目立项过程文件符合要求得3分；绩效目标合理得3分；将绩效目标细化分解为具体绩效指标指标清晰得3分。。</w:t>
      </w:r>
    </w:p>
    <w:p>
      <w:pPr>
        <w:numPr>
          <w:ilvl w:val="0"/>
          <w:numId w:val="1"/>
        </w:numPr>
        <w:ind w:firstLine="640" w:firstLineChars="200"/>
        <w:rPr>
          <w:rFonts w:hint="eastAsia" w:ascii="仿宋_GB2312" w:eastAsia="仿宋"/>
          <w:b w:val="0"/>
          <w:bCs w:val="0"/>
          <w:sz w:val="24"/>
          <w:szCs w:val="32"/>
          <w:lang w:val="en-US" w:eastAsia="zh-CN"/>
        </w:rPr>
      </w:pPr>
      <w:r>
        <w:rPr>
          <w:rFonts w:hint="eastAsia" w:ascii="仿宋_GB2312" w:eastAsia="仿宋"/>
          <w:b w:val="0"/>
          <w:bCs w:val="0"/>
          <w:sz w:val="24"/>
          <w:szCs w:val="32"/>
          <w:lang w:val="en-US" w:eastAsia="zh-CN"/>
        </w:rPr>
        <w:t>资金落实情况分析。</w:t>
      </w:r>
    </w:p>
    <w:p>
      <w:pPr>
        <w:numPr>
          <w:numId w:val="0"/>
        </w:numPr>
        <w:rPr>
          <w:rFonts w:hint="eastAsia" w:ascii="仿宋_GB2312" w:eastAsia="仿宋"/>
          <w:b w:val="0"/>
          <w:bCs w:val="0"/>
          <w:sz w:val="24"/>
          <w:szCs w:val="32"/>
          <w:lang w:val="en-US" w:eastAsia="zh-CN"/>
        </w:rPr>
      </w:pPr>
      <w:r>
        <w:rPr>
          <w:rFonts w:hint="eastAsia" w:ascii="仿宋_GB2312" w:eastAsia="仿宋"/>
          <w:b w:val="0"/>
          <w:bCs w:val="0"/>
          <w:sz w:val="24"/>
          <w:szCs w:val="32"/>
          <w:lang w:val="en-US" w:eastAsia="zh-CN"/>
        </w:rPr>
        <w:t xml:space="preserve">      资金落实方面满分6分，得6分。2019年区财政预算安排公务接待费5万元，实际到位经费5万元租金到位率100%，得6分；</w:t>
      </w:r>
    </w:p>
    <w:p>
      <w:pPr>
        <w:rPr>
          <w:rFonts w:hint="eastAsia" w:ascii="仿宋" w:hAnsi="仿宋" w:eastAsia="仿宋" w:cs="仿宋"/>
          <w:b w:val="0"/>
          <w:bCs w:val="0"/>
          <w:sz w:val="28"/>
          <w:szCs w:val="28"/>
          <w:lang w:val="en-US" w:eastAsia="zh-CN"/>
        </w:rPr>
      </w:pPr>
      <w:r>
        <w:rPr>
          <w:rFonts w:hint="eastAsia" w:ascii="仿宋_GB2312" w:eastAsia="仿宋_GB2312"/>
          <w:b w:val="0"/>
          <w:bCs w:val="0"/>
          <w:sz w:val="32"/>
          <w:szCs w:val="32"/>
          <w:lang w:val="en-US" w:eastAsia="zh-CN"/>
        </w:rPr>
        <w:t xml:space="preserve">   </w:t>
      </w:r>
      <w:r>
        <w:rPr>
          <w:rFonts w:hint="eastAsia" w:ascii="仿宋" w:hAnsi="仿宋" w:eastAsia="仿宋" w:cs="仿宋"/>
          <w:b w:val="0"/>
          <w:bCs w:val="0"/>
          <w:sz w:val="28"/>
          <w:szCs w:val="28"/>
          <w:lang w:val="en-US" w:eastAsia="zh-CN"/>
        </w:rPr>
        <w:t>（二）项目实施过程</w:t>
      </w:r>
    </w:p>
    <w:p>
      <w:pPr>
        <w:numPr>
          <w:ilvl w:val="0"/>
          <w:numId w:val="2"/>
        </w:numPr>
        <w:ind w:firstLine="640" w:firstLineChars="200"/>
        <w:rPr>
          <w:rFonts w:hint="eastAsia" w:ascii="仿宋_GB2312" w:eastAsia="仿宋"/>
          <w:b w:val="0"/>
          <w:bCs w:val="0"/>
          <w:sz w:val="24"/>
          <w:szCs w:val="32"/>
          <w:lang w:val="en-US" w:eastAsia="zh-CN"/>
        </w:rPr>
      </w:pPr>
      <w:r>
        <w:rPr>
          <w:rFonts w:hint="eastAsia" w:ascii="仿宋_GB2312" w:eastAsia="仿宋"/>
          <w:b w:val="0"/>
          <w:bCs w:val="0"/>
          <w:sz w:val="24"/>
          <w:szCs w:val="32"/>
          <w:lang w:val="en-US" w:eastAsia="zh-CN"/>
        </w:rPr>
        <w:t>业务管理情况分析。</w:t>
      </w:r>
    </w:p>
    <w:p>
      <w:pPr>
        <w:numPr>
          <w:numId w:val="0"/>
        </w:numPr>
        <w:rPr>
          <w:rFonts w:hint="eastAsia" w:ascii="仿宋_GB2312" w:eastAsia="仿宋"/>
          <w:b w:val="0"/>
          <w:bCs w:val="0"/>
          <w:sz w:val="24"/>
          <w:szCs w:val="32"/>
          <w:lang w:val="en-US" w:eastAsia="zh-CN"/>
        </w:rPr>
      </w:pPr>
      <w:r>
        <w:rPr>
          <w:rFonts w:hint="eastAsia" w:ascii="仿宋_GB2312" w:eastAsia="仿宋"/>
          <w:b w:val="0"/>
          <w:bCs w:val="0"/>
          <w:sz w:val="24"/>
          <w:szCs w:val="32"/>
          <w:lang w:val="en-US" w:eastAsia="zh-CN"/>
        </w:rPr>
        <w:t xml:space="preserve">    业务管理方面满分9分，实得8分。管理制度健全，并制定相应的公务接待费支出管理办法，且制度合法、合规、完善，得3分；同时制度也得到有效执行，遵守相关法律法规和业务管理规定，得3分；接待任务下达后，单位制定了相应严格要求和标准，并积极采取必要控制措施，保障接待圆满完成，需要提高接待服务水平得2分。</w:t>
      </w:r>
    </w:p>
    <w:p>
      <w:pPr>
        <w:numPr>
          <w:ilvl w:val="0"/>
          <w:numId w:val="2"/>
        </w:numPr>
        <w:ind w:firstLine="640" w:firstLineChars="200"/>
        <w:rPr>
          <w:rFonts w:hint="eastAsia" w:ascii="仿宋_GB2312" w:eastAsia="仿宋"/>
          <w:b w:val="0"/>
          <w:bCs w:val="0"/>
          <w:sz w:val="24"/>
          <w:szCs w:val="32"/>
          <w:lang w:val="en-US" w:eastAsia="zh-CN"/>
        </w:rPr>
      </w:pPr>
      <w:r>
        <w:rPr>
          <w:rFonts w:hint="eastAsia" w:ascii="仿宋_GB2312" w:eastAsia="仿宋"/>
          <w:b w:val="0"/>
          <w:bCs w:val="0"/>
          <w:sz w:val="24"/>
          <w:szCs w:val="32"/>
          <w:lang w:val="en-US" w:eastAsia="zh-CN"/>
        </w:rPr>
        <w:t>财务管理。</w:t>
      </w:r>
    </w:p>
    <w:p>
      <w:pPr>
        <w:numPr>
          <w:numId w:val="0"/>
        </w:numPr>
        <w:rPr>
          <w:rFonts w:hint="eastAsia" w:ascii="仿宋_GB2312" w:eastAsia="仿宋"/>
          <w:b/>
          <w:bCs/>
          <w:sz w:val="24"/>
          <w:szCs w:val="32"/>
          <w:lang w:val="en-US" w:eastAsia="zh-CN"/>
        </w:rPr>
      </w:pPr>
      <w:r>
        <w:rPr>
          <w:rFonts w:hint="eastAsia" w:ascii="仿宋_GB2312" w:eastAsia="仿宋"/>
          <w:b w:val="0"/>
          <w:bCs w:val="0"/>
          <w:sz w:val="24"/>
          <w:szCs w:val="32"/>
          <w:lang w:val="en-US" w:eastAsia="zh-CN"/>
        </w:rPr>
        <w:t xml:space="preserve">      财务管理方面满分11分，得11分。项目资金财务管理制健全，严格按照国家法律法规和区财政局财务管理制度执行财务管理制度合法、合规、完整得3分；资金使用符合国家财经法规和财务</w:t>
      </w:r>
      <w:bookmarkStart w:id="0" w:name="_GoBack"/>
      <w:bookmarkEnd w:id="0"/>
      <w:r>
        <w:rPr>
          <w:rFonts w:hint="eastAsia" w:ascii="仿宋_GB2312" w:eastAsia="仿宋"/>
          <w:b w:val="0"/>
          <w:bCs w:val="0"/>
          <w:sz w:val="24"/>
          <w:szCs w:val="32"/>
          <w:lang w:val="en-US" w:eastAsia="zh-CN"/>
        </w:rPr>
        <w:t>管理制度以及有关专项资金管理办法的规定，资金拨付具备完整的审批程序及手续，重大开评估认证，且不存在截留、挤占、挪用、序列开支等情况得5分；项目执行过程中由区政协各委员会主任组成监管领导小组， 监督、检查财务执行情况制度健全得3分</w:t>
      </w:r>
      <w:r>
        <w:rPr>
          <w:rFonts w:hint="eastAsia" w:ascii="仿宋_GB2312" w:eastAsia="仿宋"/>
          <w:b/>
          <w:bCs/>
          <w:sz w:val="24"/>
          <w:szCs w:val="32"/>
          <w:lang w:val="en-US" w:eastAsia="zh-CN"/>
        </w:rPr>
        <w:t xml:space="preserve"> 。  </w:t>
      </w:r>
    </w:p>
    <w:p>
      <w:pPr>
        <w:numPr>
          <w:numId w:val="0"/>
        </w:numPr>
        <w:rPr>
          <w:rFonts w:hint="eastAsia" w:ascii="仿宋" w:hAnsi="仿宋" w:eastAsia="仿宋" w:cs="仿宋"/>
          <w:b/>
          <w:bCs/>
          <w:sz w:val="28"/>
          <w:szCs w:val="28"/>
          <w:lang w:val="en-US" w:eastAsia="zh-CN"/>
        </w:rPr>
      </w:pPr>
      <w:r>
        <w:rPr>
          <w:rFonts w:hint="eastAsia" w:ascii="仿宋" w:hAnsi="仿宋" w:eastAsia="仿宋" w:cs="仿宋"/>
          <w:b w:val="0"/>
          <w:bCs w:val="0"/>
          <w:sz w:val="28"/>
          <w:szCs w:val="28"/>
          <w:lang w:val="en-US" w:eastAsia="zh-CN"/>
        </w:rPr>
        <w:t>（三）项目产出</w:t>
      </w:r>
    </w:p>
    <w:p>
      <w:pPr>
        <w:numPr>
          <w:numId w:val="0"/>
        </w:numPr>
        <w:ind w:firstLine="640" w:firstLineChars="200"/>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产出方面满分30分，得分20分。2019年区政协完成公务接待活动预算80%，严格执行中央八项规定减少接待。</w:t>
      </w:r>
    </w:p>
    <w:p>
      <w:pPr>
        <w:numPr>
          <w:numId w:val="0"/>
        </w:numPr>
        <w:rPr>
          <w:rFonts w:hint="eastAsia" w:ascii="仿宋" w:hAnsi="仿宋" w:eastAsia="仿宋" w:cs="仿宋"/>
          <w:b w:val="0"/>
          <w:bCs w:val="0"/>
          <w:sz w:val="28"/>
          <w:szCs w:val="28"/>
          <w:lang w:val="en-US" w:eastAsia="zh-CN"/>
        </w:rPr>
      </w:pPr>
      <w:r>
        <w:rPr>
          <w:rFonts w:hint="eastAsia" w:ascii="楷体_GB2312" w:hAnsi="楷体_GB2312" w:eastAsia="楷体_GB2312" w:cs="楷体_GB2312"/>
          <w:b/>
          <w:bCs/>
          <w:sz w:val="32"/>
          <w:szCs w:val="32"/>
          <w:lang w:val="en-US" w:eastAsia="zh-CN"/>
        </w:rPr>
        <w:t xml:space="preserve">   </w:t>
      </w:r>
      <w:r>
        <w:rPr>
          <w:rFonts w:hint="eastAsia" w:ascii="仿宋" w:hAnsi="仿宋" w:eastAsia="仿宋" w:cs="仿宋"/>
          <w:b w:val="0"/>
          <w:bCs w:val="0"/>
          <w:sz w:val="28"/>
          <w:szCs w:val="28"/>
          <w:lang w:val="en-US" w:eastAsia="zh-CN"/>
        </w:rPr>
        <w:t>（四）项目效果</w:t>
      </w:r>
    </w:p>
    <w:p>
      <w:pPr>
        <w:numPr>
          <w:numId w:val="0"/>
        </w:numPr>
        <w:ind w:firstLine="640" w:firstLineChars="200"/>
        <w:rPr>
          <w:rFonts w:hint="eastAsia" w:ascii="仿宋_GB2312" w:eastAsia="仿宋"/>
          <w:b w:val="0"/>
          <w:bCs w:val="0"/>
          <w:sz w:val="24"/>
          <w:szCs w:val="32"/>
          <w:lang w:val="en-US" w:eastAsia="zh-CN"/>
        </w:rPr>
      </w:pPr>
    </w:p>
    <w:p>
      <w:pPr>
        <w:numPr>
          <w:numId w:val="0"/>
        </w:numPr>
        <w:ind w:firstLine="640" w:firstLineChars="200"/>
        <w:rPr>
          <w:rFonts w:hint="eastAsia" w:ascii="仿宋_GB2312" w:eastAsia="仿宋"/>
          <w:b w:val="0"/>
          <w:bCs w:val="0"/>
          <w:sz w:val="24"/>
          <w:szCs w:val="32"/>
          <w:lang w:val="en-US" w:eastAsia="zh-CN"/>
        </w:rPr>
      </w:pPr>
      <w:r>
        <w:rPr>
          <w:rFonts w:hint="eastAsia" w:ascii="仿宋_GB2312" w:eastAsia="仿宋"/>
          <w:b w:val="0"/>
          <w:bCs w:val="0"/>
          <w:sz w:val="24"/>
          <w:szCs w:val="32"/>
          <w:lang w:val="en-US" w:eastAsia="zh-CN"/>
        </w:rPr>
        <w:t>效益方面满分35分，得30分。2019年区政协公务接待活动无超标准超范围次数接待，今后需要加强管理节约开支。</w:t>
      </w:r>
    </w:p>
    <w:p>
      <w:pPr>
        <w:numPr>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numId w:val="0"/>
        </w:numPr>
        <w:ind w:firstLine="640" w:firstLineChars="200"/>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根据项目执行情况和项目绩效情况，该项目得分84分，项目综合绩效评价等级为</w:t>
      </w:r>
      <w:r>
        <w:rPr>
          <w:rFonts w:hint="eastAsia" w:ascii="仿宋" w:hAnsi="仿宋" w:eastAsia="仿宋" w:cs="仿宋"/>
          <w:sz w:val="24"/>
          <w:szCs w:val="24"/>
          <w:lang w:eastAsia="zh-CN"/>
        </w:rPr>
        <w:t>良好。</w:t>
      </w:r>
    </w:p>
    <w:p>
      <w:pPr>
        <w:numPr>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numId w:val="0"/>
        </w:numPr>
        <w:rPr>
          <w:rFonts w:hint="eastAsia" w:ascii="楷体_GB2312" w:hAnsi="楷体_GB2312" w:eastAsia="仿宋"/>
          <w:b w:val="0"/>
          <w:bCs w:val="0"/>
          <w:sz w:val="24"/>
          <w:szCs w:val="24"/>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仿宋"/>
          <w:b w:val="0"/>
          <w:bCs w:val="0"/>
          <w:sz w:val="24"/>
          <w:szCs w:val="24"/>
          <w:lang w:val="en-US" w:eastAsia="zh-CN"/>
        </w:rPr>
        <w:t>（一）项目存在的主要问题进一步加强支出管理节约开支。</w:t>
      </w:r>
    </w:p>
    <w:p>
      <w:pPr>
        <w:numPr>
          <w:numId w:val="0"/>
        </w:numPr>
        <w:rPr>
          <w:rFonts w:hint="eastAsia" w:ascii="楷体_GB2312" w:hAnsi="楷体_GB2312" w:eastAsia="楷体_GB2312"/>
          <w:b w:val="0"/>
          <w:bCs w:val="0"/>
          <w:sz w:val="24"/>
          <w:szCs w:val="24"/>
          <w:lang w:val="en-US" w:eastAsia="zh-CN"/>
        </w:rPr>
      </w:pPr>
      <w:r>
        <w:rPr>
          <w:rFonts w:hint="eastAsia" w:ascii="楷体_GB2312" w:hAnsi="楷体_GB2312" w:eastAsia="仿宋"/>
          <w:b w:val="0"/>
          <w:bCs w:val="0"/>
          <w:sz w:val="24"/>
          <w:szCs w:val="24"/>
          <w:lang w:val="en-US" w:eastAsia="zh-CN"/>
        </w:rPr>
        <w:t xml:space="preserve">    （二）严格执行各项财务管理制度加强预算管理，提高预算准确性。</w:t>
      </w:r>
    </w:p>
    <w:p>
      <w:pPr>
        <w:numPr>
          <w:ilvl w:val="0"/>
          <w:numId w:val="3"/>
        </w:numPr>
        <w:adjustRightInd w:val="0"/>
        <w:snapToGrid w:val="0"/>
        <w:spacing w:line="360" w:lineRule="auto"/>
        <w:ind w:firstLine="640" w:firstLineChars="200"/>
        <w:rPr>
          <w:rFonts w:hint="eastAsia" w:ascii="仿宋" w:hAnsi="仿宋" w:eastAsia="仿宋" w:cs="仿宋"/>
          <w:sz w:val="28"/>
          <w:szCs w:val="28"/>
          <w:lang w:val="en-US" w:eastAsia="zh-CN"/>
        </w:rPr>
      </w:pPr>
      <w:r>
        <w:rPr>
          <w:rFonts w:hint="eastAsia" w:ascii="黑体" w:eastAsia="黑体"/>
          <w:b w:val="0"/>
          <w:bCs w:val="0"/>
          <w:sz w:val="32"/>
          <w:szCs w:val="32"/>
        </w:rPr>
        <w:t>评价工作组人员名单及签字</w:t>
      </w:r>
    </w:p>
    <w:p>
      <w:pPr>
        <w:numPr>
          <w:numId w:val="0"/>
        </w:numPr>
        <w:adjustRightInd w:val="0"/>
        <w:snapToGrid w:val="0"/>
        <w:spacing w:line="360" w:lineRule="auto"/>
        <w:rPr>
          <w:rFonts w:hint="eastAsia" w:ascii="仿宋" w:hAnsi="仿宋" w:eastAsia="仿宋" w:cs="仿宋"/>
          <w:sz w:val="28"/>
          <w:szCs w:val="28"/>
          <w:lang w:val="en-US" w:eastAsia="zh-CN"/>
        </w:rPr>
      </w:pPr>
      <w:r>
        <w:rPr>
          <w:rFonts w:hint="eastAsia" w:ascii="黑体" w:eastAsia="黑体"/>
          <w:b w:val="0"/>
          <w:bCs w:val="0"/>
          <w:sz w:val="32"/>
          <w:szCs w:val="32"/>
          <w:lang w:val="en-US" w:eastAsia="zh-CN"/>
        </w:rPr>
        <w:t xml:space="preserve">     </w:t>
      </w:r>
      <w:r>
        <w:rPr>
          <w:rFonts w:hint="eastAsia" w:ascii="仿宋_GB2312" w:eastAsia="仿宋"/>
          <w:sz w:val="28"/>
          <w:szCs w:val="32"/>
          <w:lang w:val="en-US" w:eastAsia="zh-CN"/>
        </w:rPr>
        <w:t>石建国：鹿泉区政协</w:t>
      </w:r>
      <w:r>
        <w:rPr>
          <w:rFonts w:hint="eastAsia" w:ascii="仿宋_GB2312" w:eastAsia="仿宋_GB2312"/>
          <w:sz w:val="32"/>
          <w:szCs w:val="32"/>
          <w:lang w:val="en-US" w:eastAsia="zh-CN"/>
        </w:rPr>
        <w:t xml:space="preserve">  </w:t>
      </w:r>
      <w:r>
        <w:rPr>
          <w:rFonts w:hint="eastAsia" w:ascii="仿宋" w:hAnsi="仿宋" w:eastAsia="仿宋" w:cs="仿宋"/>
          <w:sz w:val="28"/>
          <w:szCs w:val="28"/>
          <w:lang w:val="en-US" w:eastAsia="zh-CN"/>
        </w:rPr>
        <w:t xml:space="preserve">     区政协办主任                                                   </w:t>
      </w:r>
    </w:p>
    <w:p>
      <w:pPr>
        <w:numPr>
          <w:numId w:val="0"/>
        </w:numPr>
        <w:adjustRightInd w:val="0"/>
        <w:snapToGrid w:val="0"/>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      郭亮： 鹿泉区政协      区政协提案委主任</w:t>
      </w:r>
    </w:p>
    <w:p>
      <w:pPr>
        <w:numPr>
          <w:numId w:val="0"/>
        </w:numPr>
        <w:adjustRightInd w:val="0"/>
        <w:snapToGrid w:val="0"/>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      王爱华：</w:t>
      </w:r>
      <w:r>
        <w:rPr>
          <w:rFonts w:hint="eastAsia" w:ascii="仿宋" w:hAnsi="仿宋" w:eastAsia="仿宋" w:cs="仿宋"/>
          <w:sz w:val="28"/>
          <w:szCs w:val="28"/>
          <w:lang w:eastAsia="zh-CN"/>
        </w:rPr>
        <w:t>鹿泉区政协</w:t>
      </w:r>
      <w:r>
        <w:rPr>
          <w:rFonts w:hint="eastAsia" w:ascii="仿宋" w:hAnsi="仿宋" w:eastAsia="仿宋" w:cs="仿宋"/>
          <w:sz w:val="28"/>
          <w:szCs w:val="28"/>
          <w:lang w:val="en-US" w:eastAsia="zh-CN"/>
        </w:rPr>
        <w:t xml:space="preserve">     区政协办会计</w:t>
      </w:r>
    </w:p>
    <w:p>
      <w:pPr>
        <w:rPr>
          <w:rFonts w:hint="eastAsia" w:ascii="仿宋_GB2312" w:eastAsia="仿宋_GB2312"/>
          <w:sz w:val="32"/>
          <w:szCs w:val="32"/>
          <w:lang w:val="en-US" w:eastAsia="zh-CN"/>
        </w:rPr>
      </w:pPr>
    </w:p>
    <w:p>
      <w:pPr>
        <w:widowControl w:val="0"/>
        <w:wordWrap/>
        <w:adjustRightInd w:val="0"/>
        <w:snapToGrid/>
        <w:spacing w:before="0" w:beforeLines="0" w:after="0" w:afterLines="0" w:line="360" w:lineRule="auto"/>
        <w:ind w:left="0" w:leftChars="0" w:right="0" w:firstLine="640" w:firstLineChars="200"/>
        <w:jc w:val="both"/>
        <w:textAlignment w:val="auto"/>
        <w:outlineLvl w:val="9"/>
        <w:rPr>
          <w:rFonts w:hint="eastAsia" w:ascii="仿宋_GB2312" w:hAnsi="宋体" w:eastAsia="仿宋_GB2312"/>
          <w:sz w:val="32"/>
          <w:szCs w:val="32"/>
          <w:lang w:val="en-US" w:eastAsia="zh-CN"/>
        </w:rPr>
      </w:pPr>
    </w:p>
    <w:p>
      <w:pPr>
        <w:widowControl w:val="0"/>
        <w:wordWrap/>
        <w:adjustRightInd w:val="0"/>
        <w:snapToGrid/>
        <w:spacing w:before="0" w:beforeLines="0" w:after="0" w:afterLines="0" w:line="360" w:lineRule="auto"/>
        <w:ind w:left="0" w:leftChars="0" w:right="0" w:firstLine="640" w:firstLineChars="200"/>
        <w:jc w:val="both"/>
        <w:textAlignment w:val="auto"/>
        <w:outlineLvl w:val="9"/>
        <w:rPr>
          <w:rFonts w:hint="eastAsia" w:ascii="仿宋_GB2312" w:hAnsi="宋体" w:eastAsia="仿宋_GB2312"/>
          <w:sz w:val="32"/>
          <w:szCs w:val="32"/>
          <w:lang w:val="en-US" w:eastAsia="zh-CN"/>
        </w:rPr>
      </w:pPr>
    </w:p>
    <w:p>
      <w:pPr>
        <w:widowControl w:val="0"/>
        <w:wordWrap/>
        <w:adjustRightInd w:val="0"/>
        <w:snapToGrid/>
        <w:spacing w:before="0" w:beforeLines="0" w:after="0" w:afterLines="0" w:line="360" w:lineRule="auto"/>
        <w:ind w:left="0" w:leftChars="0" w:right="0" w:firstLine="640" w:firstLineChars="200"/>
        <w:jc w:val="both"/>
        <w:textAlignment w:val="auto"/>
        <w:outlineLvl w:val="9"/>
        <w:rPr>
          <w:rFonts w:hint="eastAsia" w:ascii="仿宋_GB2312" w:hAnsi="宋体" w:eastAsia="仿宋_GB2312"/>
          <w:sz w:val="32"/>
          <w:szCs w:val="32"/>
          <w:lang w:val="en-US" w:eastAsia="zh-CN"/>
        </w:rPr>
      </w:pPr>
    </w:p>
    <w:p>
      <w:pPr>
        <w:widowControl w:val="0"/>
        <w:wordWrap/>
        <w:adjustRightInd w:val="0"/>
        <w:snapToGrid/>
        <w:spacing w:before="0" w:beforeLines="0" w:after="0" w:afterLines="0" w:line="360" w:lineRule="auto"/>
        <w:ind w:left="0" w:leftChars="0" w:right="0" w:firstLine="640" w:firstLineChars="200"/>
        <w:jc w:val="both"/>
        <w:textAlignment w:val="auto"/>
        <w:outlineLvl w:val="9"/>
        <w:rPr>
          <w:rFonts w:hint="eastAsia" w:ascii="仿宋_GB2312" w:hAnsi="宋体" w:eastAsia="仿宋_GB2312"/>
          <w:sz w:val="32"/>
          <w:szCs w:val="32"/>
          <w:lang w:val="en-US" w:eastAsia="zh-CN"/>
        </w:rPr>
      </w:pPr>
    </w:p>
    <w:p>
      <w:pPr>
        <w:widowControl w:val="0"/>
        <w:wordWrap/>
        <w:adjustRightInd w:val="0"/>
        <w:snapToGrid/>
        <w:spacing w:before="0" w:beforeLines="0" w:after="0" w:afterLines="0" w:line="360" w:lineRule="auto"/>
        <w:ind w:left="0" w:leftChars="0" w:right="0" w:firstLine="640" w:firstLineChars="200"/>
        <w:jc w:val="both"/>
        <w:textAlignment w:val="auto"/>
        <w:outlineLvl w:val="9"/>
        <w:rPr>
          <w:rFonts w:hint="eastAsia" w:ascii="仿宋_GB2312" w:hAnsi="宋体" w:eastAsia="仿宋_GB2312"/>
          <w:sz w:val="32"/>
          <w:szCs w:val="32"/>
          <w:lang w:val="en-US" w:eastAsia="zh-CN"/>
        </w:rPr>
      </w:pPr>
    </w:p>
    <w:p/>
    <w:sectPr>
      <w:headerReference r:id="rId4" w:type="first"/>
      <w:footerReference r:id="rId7" w:type="first"/>
      <w:footerReference r:id="rId5" w:type="default"/>
      <w:footerReference r:id="rId6"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auto"/>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578378427">
    <w:nsid w:val="5E1424BB"/>
    <w:multiLevelType w:val="singleLevel"/>
    <w:tmpl w:val="5E1424BB"/>
    <w:lvl w:ilvl="0" w:tentative="1">
      <w:start w:val="6"/>
      <w:numFmt w:val="chineseCounting"/>
      <w:suff w:val="nothing"/>
      <w:lvlText w:val="%1、"/>
      <w:lvlJc w:val="left"/>
    </w:lvl>
  </w:abstractNum>
  <w:abstractNum w:abstractNumId="1578361681">
    <w:nsid w:val="5E13E351"/>
    <w:multiLevelType w:val="singleLevel"/>
    <w:tmpl w:val="5E13E351"/>
    <w:lvl w:ilvl="0" w:tentative="1">
      <w:start w:val="1"/>
      <w:numFmt w:val="decimal"/>
      <w:suff w:val="nothing"/>
      <w:lvlText w:val="%1."/>
      <w:lvlJc w:val="left"/>
    </w:lvl>
  </w:abstractNum>
  <w:abstractNum w:abstractNumId="1578298640">
    <w:nsid w:val="5E12ED10"/>
    <w:multiLevelType w:val="singleLevel"/>
    <w:tmpl w:val="5E12ED10"/>
    <w:lvl w:ilvl="0" w:tentative="1">
      <w:start w:val="1"/>
      <w:numFmt w:val="decimal"/>
      <w:suff w:val="nothing"/>
      <w:lvlText w:val="%1."/>
      <w:lvlJc w:val="left"/>
    </w:lvl>
  </w:abstractNum>
  <w:num w:numId="1">
    <w:abstractNumId w:val="1578298640"/>
  </w:num>
  <w:num w:numId="2">
    <w:abstractNumId w:val="1578361681"/>
  </w:num>
  <w:num w:numId="3">
    <w:abstractNumId w:val="15783784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00172A27"/>
    <w:rsid w:val="00122D7E"/>
    <w:rsid w:val="10013A51"/>
    <w:rsid w:val="10DC1688"/>
    <w:rsid w:val="140D7D73"/>
    <w:rsid w:val="191A4F3D"/>
    <w:rsid w:val="200F7A29"/>
    <w:rsid w:val="2913453B"/>
    <w:rsid w:val="2A2941B7"/>
    <w:rsid w:val="3D176304"/>
    <w:rsid w:val="3ED804E3"/>
    <w:rsid w:val="404A48C6"/>
    <w:rsid w:val="48B459D5"/>
    <w:rsid w:val="4B020F70"/>
    <w:rsid w:val="51072E4E"/>
    <w:rsid w:val="5BB12F7A"/>
    <w:rsid w:val="5DA659B4"/>
    <w:rsid w:val="735637C7"/>
    <w:rsid w:val="74D92B10"/>
    <w:rsid w:val="75B85A02"/>
    <w:rsid w:val="7668404E"/>
    <w:rsid w:val="7A54333F"/>
    <w:rsid w:val="7F8D2652"/>
  </w:rsids>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4">
    <w:name w:val="Default Paragraph Font"/>
    <w:link w:val="5"/>
    <w:semiHidden/>
    <w:uiPriority w:val="0"/>
  </w:style>
  <w:style w:type="table" w:default="1" w:styleId="7">
    <w:name w:val="Normal Table"/>
    <w:semiHidden/>
    <w:uiPriority w:val="0"/>
    <w:tblPr>
      <w:tblStyle w:val="7"/>
      <w:tblLayout w:type="fixed"/>
      <w:tblCellMar>
        <w:top w:w="0" w:type="dxa"/>
        <w:left w:w="108" w:type="dxa"/>
        <w:bottom w:w="0" w:type="dxa"/>
        <w:right w:w="108" w:type="dxa"/>
      </w:tblCellMar>
    </w:tblPr>
    <w:tcPr>
      <w:textDirection w:val="lrTb"/>
    </w:tc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uiPriority w:val="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1.xml"/><Relationship Id="rId3" Type="http://schemas.openxmlformats.org/officeDocument/2006/relationships/settings" Target="settings.xml"/><Relationship Id="rId2" Type="http://schemas.openxmlformats.org/officeDocument/2006/relationships/styles" Target="styles.xml"/><Relationship Id="rId10" Type="http://schemas.openxmlformats.org/officeDocument/2006/relationships/numbering" Target="numbering.xml"/><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 专业版_9.1.0.5012_F1E327BC-269C-435d-A152-05C5408002CA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2020-01-07T10:26:58Z</dcterms:modified>
  <dc:title>政协会议项目绩效评价报告</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2052-9.1.0.5012</vt:lpwstr>
  </property>
</Properties>
</file>