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：中共石家庄市鹿泉区委网络安全和信息化委员会办公室</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中共石家庄市鹿泉区委网络安全和信息化委员会办公室</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中共石家庄市鹿泉区委网络安全和信息化委员会办公室(单位名称，加盖公章）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spacing w:before="245" w:line="366" w:lineRule="auto"/>
        <w:ind w:left="341" w:right="117" w:firstLine="630"/>
        <w:jc w:val="both"/>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个，我部门无二级预算单位</w:t>
      </w:r>
      <w:r>
        <w:rPr>
          <w:rFonts w:hint="eastAsia" w:ascii="Times New Roman" w:eastAsia="仿宋_GB2312"/>
          <w:b w:val="0"/>
          <w:sz w:val="32"/>
          <w:szCs w:val="32"/>
          <w:lang w:eastAsia="zh-CN"/>
        </w:rPr>
        <w:t>，</w:t>
      </w:r>
      <w:r>
        <w:rPr>
          <w:rFonts w:ascii="Times New Roman" w:eastAsia="仿宋_GB2312"/>
          <w:b w:val="0"/>
          <w:sz w:val="32"/>
          <w:szCs w:val="32"/>
        </w:rPr>
        <w:t>因此</w:t>
      </w:r>
      <w:r>
        <w:rPr>
          <w:rFonts w:hint="eastAsia" w:ascii="Times New Roman" w:eastAsia="仿宋_GB2312"/>
          <w:b w:val="0"/>
          <w:sz w:val="32"/>
          <w:szCs w:val="32"/>
          <w:lang w:eastAsia="zh-CN"/>
        </w:rPr>
        <w:t>，</w:t>
      </w:r>
      <w:r>
        <w:rPr>
          <w:rFonts w:ascii="Times New Roman" w:eastAsia="仿宋_GB2312"/>
          <w:b w:val="0"/>
          <w:sz w:val="32"/>
          <w:szCs w:val="32"/>
        </w:rPr>
        <w:t>中共石家庄市鹿泉区委网络安全和信息化委员会办公室202</w:t>
      </w:r>
      <w:r>
        <w:rPr>
          <w:rFonts w:hint="eastAsia" w:ascii="Times New Roman" w:eastAsia="仿宋_GB2312"/>
          <w:b w:val="0"/>
          <w:sz w:val="32"/>
          <w:szCs w:val="32"/>
          <w:lang w:val="en-US" w:eastAsia="zh-CN"/>
        </w:rPr>
        <w:t>4</w:t>
      </w:r>
      <w:r>
        <w:rPr>
          <w:rFonts w:ascii="Times New Roman" w:eastAsia="仿宋_GB2312"/>
          <w:b w:val="0"/>
          <w:sz w:val="32"/>
          <w:szCs w:val="32"/>
        </w:rPr>
        <w:t>年度部门决算即中共石家庄市鹿泉区委网络安全和信息化委员会办公室本级202</w:t>
      </w:r>
      <w:r>
        <w:rPr>
          <w:rFonts w:hint="eastAsia" w:ascii="Times New Roman" w:eastAsia="仿宋_GB2312"/>
          <w:b w:val="0"/>
          <w:sz w:val="32"/>
          <w:szCs w:val="32"/>
          <w:lang w:val="en-US" w:eastAsia="zh-CN"/>
        </w:rPr>
        <w:t>4</w:t>
      </w:r>
      <w:r>
        <w:rPr>
          <w:rFonts w:ascii="Times New Roman" w:eastAsia="仿宋_GB2312"/>
          <w:b w:val="0"/>
          <w:sz w:val="32"/>
          <w:szCs w:val="32"/>
        </w:rPr>
        <w:t>年度决算。具体情况如下：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中共石家庄市鹿泉区委网络安全和信息化委员会办公室(本级)</w:t>
            </w:r>
          </w:p>
        </w:tc>
        <w:tc>
          <w:tcPr>
            <w:tcW w:w="2445" w:type="dxa"/>
          </w:tcPr>
          <w:p>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highlight w:val="none"/>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部门（单位）：中共石家庄市鹿泉区委网络安全和信息化委员会办公室</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网信事务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信息安全事务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355.53</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91"/>
        <w:gridCol w:w="2769"/>
        <w:gridCol w:w="1198"/>
        <w:gridCol w:w="631"/>
        <w:gridCol w:w="659"/>
        <w:gridCol w:w="317"/>
        <w:gridCol w:w="10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483"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编制部门（单位）：中共石家庄市鹿泉区委网络安全和信息化委员会办公室</w:t>
            </w:r>
          </w:p>
        </w:tc>
        <w:tc>
          <w:tcPr>
            <w:tcW w:w="742"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773"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20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591"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52"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61"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92"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59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59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部门（单位）：中共石家庄市鹿泉区委网络安全和信息化委员会办公室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218.86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29.67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229.44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部门（单位）：中共石家庄市鹿泉区委网络安全和信息化委员会办公室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spacing w:before="58" w:line="285" w:lineRule="auto"/>
              <w:ind w:left="136" w:right="50" w:hanging="5"/>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w:t>
            </w:r>
            <w:r>
              <w:rPr>
                <w:rFonts w:ascii="仿宋" w:hAnsi="仿宋" w:eastAsia="仿宋" w:cs="仿宋"/>
                <w:spacing w:val="8"/>
                <w:sz w:val="19"/>
                <w:szCs w:val="19"/>
              </w:rPr>
              <w:t>：本表反映部门本年度政府性基金预算财政拨款收入、支出及结转和结余情况。本部门本年度无相关收入（或支出、收支及结转结余等）情况，按要求空表列示。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部门（单位）：中共石家庄市鹿泉区委网络安全和信息化委员会办公室</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spacing w:val="7"/>
                <w:sz w:val="19"/>
                <w:szCs w:val="19"/>
                <w:lang w:eastAsia="zh-CN"/>
              </w:rPr>
              <w:t>注：</w:t>
            </w:r>
            <w:r>
              <w:rPr>
                <w:rFonts w:ascii="仿宋" w:hAnsi="仿宋" w:eastAsia="仿宋" w:cs="仿宋"/>
                <w:spacing w:val="7"/>
                <w:sz w:val="19"/>
                <w:szCs w:val="19"/>
              </w:rPr>
              <w:t>本表反映部门本年度国有资本经营预算财政拨款支出情况。本部门本年度无相关收入（或支出、</w:t>
            </w:r>
            <w:r>
              <w:rPr>
                <w:rFonts w:ascii="仿宋" w:hAnsi="仿宋" w:eastAsia="仿宋" w:cs="仿宋"/>
                <w:spacing w:val="8"/>
                <w:sz w:val="19"/>
                <w:szCs w:val="19"/>
              </w:rPr>
              <w:t>收支及结转结余等）情况，按要求空表列示。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部门（单位）：中共石家庄市鹿泉区委网络安全和信息化委员会办公室</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w:t>
            </w:r>
            <w:r>
              <w:rPr>
                <w:rFonts w:ascii="仿宋" w:hAnsi="仿宋" w:eastAsia="仿宋" w:cs="仿宋"/>
                <w:spacing w:val="8"/>
                <w:sz w:val="19"/>
                <w:szCs w:val="19"/>
              </w:rPr>
              <w:t>本表反映部门本年度财政拨款“三公</w:t>
            </w:r>
            <w:r>
              <w:rPr>
                <w:rFonts w:ascii="仿宋" w:hAnsi="仿宋" w:eastAsia="仿宋" w:cs="仿宋"/>
                <w:spacing w:val="-52"/>
                <w:sz w:val="19"/>
                <w:szCs w:val="19"/>
              </w:rPr>
              <w:t xml:space="preserve"> </w:t>
            </w:r>
            <w:r>
              <w:rPr>
                <w:rFonts w:ascii="仿宋" w:hAnsi="仿宋" w:eastAsia="仿宋" w:cs="仿宋"/>
                <w:spacing w:val="8"/>
                <w:sz w:val="19"/>
                <w:szCs w:val="19"/>
              </w:rPr>
              <w:t>”经费支出预决算情况。其中：预算数为“三公</w:t>
            </w:r>
            <w:r>
              <w:rPr>
                <w:rFonts w:ascii="仿宋" w:hAnsi="仿宋" w:eastAsia="仿宋" w:cs="仿宋"/>
                <w:spacing w:val="-66"/>
                <w:sz w:val="19"/>
                <w:szCs w:val="19"/>
              </w:rPr>
              <w:t xml:space="preserve"> </w:t>
            </w:r>
            <w:r>
              <w:rPr>
                <w:rFonts w:ascii="仿宋" w:hAnsi="仿宋" w:eastAsia="仿宋" w:cs="仿宋"/>
                <w:spacing w:val="8"/>
                <w:sz w:val="19"/>
                <w:szCs w:val="19"/>
              </w:rPr>
              <w:t>”经费全年预算数，反映按规定程序调整</w:t>
            </w:r>
            <w:r>
              <w:rPr>
                <w:rFonts w:ascii="仿宋" w:hAnsi="仿宋" w:eastAsia="仿宋" w:cs="仿宋"/>
                <w:spacing w:val="10"/>
                <w:sz w:val="19"/>
                <w:szCs w:val="19"/>
              </w:rPr>
              <w:t>后的预算数；决算数是包括当年财政拨款和</w:t>
            </w:r>
            <w:r>
              <w:rPr>
                <w:rFonts w:ascii="仿宋" w:hAnsi="仿宋" w:eastAsia="仿宋" w:cs="仿宋"/>
                <w:spacing w:val="9"/>
                <w:sz w:val="19"/>
                <w:szCs w:val="19"/>
              </w:rPr>
              <w:t>以前年度结转资金安排的实际支出。本部门本年度无相关收入（或支出、收支及结转结</w:t>
            </w:r>
            <w:r>
              <w:rPr>
                <w:rFonts w:ascii="仿宋" w:hAnsi="仿宋" w:eastAsia="仿宋" w:cs="仿宋"/>
                <w:spacing w:val="8"/>
                <w:sz w:val="19"/>
                <w:szCs w:val="19"/>
              </w:rPr>
              <w:t>余等）情况，按要求空表列示。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本部门2024年度收、支总计（含结转和结余）均为355.53万元。与2023年度决算相比，收支各增加9.72万元，增长2.8%，主要原因是。</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本部门2024年度本年收入合计355.53万元，其中：财政拨款收入355.53万元，占100%​；上级补助收入0万元，占0%；事业收入0万元，占0%；经营收入0万元，占0%；附属单位上缴收入0万元，占0%；其他收入0万元，占0%。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pStyle w:val="6"/>
        <w:bidi w:val="0"/>
      </w:pPr>
      <w:r>
        <w:t>本部门2024年度本年支出合计355.53万元，其中：基本支出267.77万元，占75.3%；项目支出87.77万元，占24.7%；上缴上级支出0万元，占0%；经营支出0万元，占0%；对附属单位补助支出0万元，占0%。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本部门2024年度财政拨款收、支总计（含结转和结余）均为355.53万元。与2023年度相比，财政拨款收支各增加9.72万元，增长2.8%，主要原因是我单位人员转正，故工资社保等经费相对增加。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355.53万元,比上年增加9.72万元，增长2.8%，主要原因是我单位人员转正，故工资社保等经费相对增加；本年支出355.53万元，比上年增加9.72万元，增长2.8%，主要原因是我单位人员转正，故工资社保等经费相对增加。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355.53万元,比上年增加9.72万元，增长2.8%，主要原因是我单位人员转正，故工资社保等经费相对增加；本年支出355.53万元，比上年增加9.72万元，增长2.8%，主要原因是我单位人员转正，故工资社保等经费相对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政府性基金预算财政拨款本年收入0万元，比上年增加0万元，增长0%，主要原因是我单位无政府性基金预算；本年支出0万元，比上年增加0万元，增长0%，主要原因是我单位无政府性基金预算。</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国有资本经营预算财政拨款本年收入0万元，比上年增加0万元，增长0%，主要原因是我单位无国有资本经营预算；本年支出0万元，比上年增加0万元，增长0%，主要原因是我单位无国有资本经营预算。</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hint="default" w:ascii="Times New Roman" w:eastAsia="楷体_GB2312"/>
          <w:sz w:val="32"/>
          <w:szCs w:val="32"/>
          <w:lang w:val="en-US" w:eastAsia="zh-CN"/>
        </w:rPr>
      </w:pPr>
      <w:r>
        <w:rPr>
          <w:rFonts w:ascii="Times New Roman" w:eastAsia="楷体_GB2312"/>
          <w:b/>
          <w:sz w:val="32"/>
          <w:szCs w:val="32"/>
        </w:rPr>
        <w:t>（二）财政拨款收支与年初预算数对比情况</w:t>
      </w:r>
      <w:r>
        <w:rPr>
          <w:rFonts w:hint="eastAsia" w:ascii="Times New Roman" w:eastAsia="楷体_GB2312"/>
          <w:b/>
          <w:sz w:val="32"/>
          <w:szCs w:val="32"/>
          <w:lang w:val="en-US" w:eastAsia="zh-CN"/>
        </w:rPr>
        <w:t>423.06</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小于</w:t>
      </w:r>
      <w:r>
        <w:rPr>
          <w:rFonts w:ascii="Times New Roman" w:eastAsia="仿宋_GB2312"/>
          <w:b w:val="0"/>
          <w:sz w:val="32"/>
          <w:szCs w:val="32"/>
        </w:rPr>
        <w:t>预算数主要原因是部分项目收入和项目进度不</w:t>
      </w:r>
      <w:r>
        <w:rPr>
          <w:rFonts w:ascii="仿宋" w:hAnsi="仿宋" w:eastAsia="仿宋" w:cs="仿宋"/>
          <w:spacing w:val="9"/>
          <w:sz w:val="31"/>
          <w:szCs w:val="31"/>
        </w:rPr>
        <w:t>匹配</w:t>
      </w:r>
      <w:r>
        <w:rPr>
          <w:rFonts w:ascii="Times New Roman" w:eastAsia="仿宋_GB2312"/>
          <w:b w:val="0"/>
          <w:sz w:val="32"/>
          <w:szCs w:val="32"/>
        </w:rPr>
        <w:t> ；本年支出355.53万元，完成年初预算的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w:t>
      </w:r>
      <w:r>
        <w:rPr>
          <w:rFonts w:hint="eastAsia" w:ascii="Times New Roman" w:eastAsia="仿宋_GB2312"/>
          <w:b w:val="0"/>
          <w:sz w:val="32"/>
          <w:szCs w:val="32"/>
          <w:lang w:eastAsia="zh-CN"/>
        </w:rPr>
        <w:t>减少</w:t>
      </w:r>
      <w:r>
        <w:rPr>
          <w:rFonts w:ascii="Times New Roman" w:eastAsia="仿宋_GB2312"/>
          <w:b w:val="0"/>
          <w:sz w:val="32"/>
          <w:szCs w:val="32"/>
        </w:rPr>
        <w:t>增加</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w:t>
      </w:r>
      <w:r>
        <w:rPr>
          <w:rFonts w:ascii="Times New Roman" w:eastAsia="仿宋_GB2312"/>
          <w:b w:val="0"/>
          <w:sz w:val="32"/>
          <w:szCs w:val="32"/>
        </w:rPr>
        <w:t>于预算数主要原因是部分项目收入和项目进度不匹配 。具体情况如下：</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1. 一般公共预算财政拨款本年收入完成年初预算的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万元，主要原因是部分项目收入和项目进度不匹配；支出完成年初预算的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政府性基金预算财政拨款本年收入完成年初预算的0%，比年初预算增加0万元，主要原因是我单位无政府性基金；支出完成年初预算的0%，比年初预算增加0万元，主要原因是我单位无政府性基金。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国有资本经营预算财政拨款本年收入完成年初预算的0 %，比年初预算增加0万元，主要原因是我单位无国有资本经营预算；支出完成年初预算的0%，比年初预算增加0万元，主要原因是我单位无国有资本经营预算。</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2024年度财政拨款支出355.53万元，主要用于以下方面：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支出290.13万元，占81.6%，主要用于</w:t>
      </w:r>
      <w:r>
        <w:rPr>
          <w:rFonts w:hint="eastAsia" w:ascii="Times New Roman" w:eastAsia="仿宋_GB2312"/>
          <w:b w:val="0"/>
          <w:sz w:val="32"/>
          <w:szCs w:val="32"/>
          <w:lang w:eastAsia="zh-CN"/>
        </w:rPr>
        <w:t>公用经费、人员经费、项目经费保险等</w:t>
      </w:r>
      <w:r>
        <w:rPr>
          <w:rFonts w:ascii="Times New Roman" w:eastAsia="仿宋_GB2312"/>
          <w:b w:val="0"/>
          <w:sz w:val="32"/>
          <w:szCs w:val="32"/>
        </w:rPr>
        <w:t>支出；社会保障和就业 （类）支出31.07万元，占8.7%，主要用于</w:t>
      </w:r>
      <w:r>
        <w:rPr>
          <w:rFonts w:hint="eastAsia" w:ascii="Times New Roman" w:eastAsia="仿宋_GB2312"/>
          <w:b w:val="0"/>
          <w:sz w:val="32"/>
          <w:szCs w:val="32"/>
          <w:lang w:eastAsia="zh-CN"/>
        </w:rPr>
        <w:t>机关养老保险</w:t>
      </w:r>
      <w:r>
        <w:rPr>
          <w:rFonts w:ascii="Times New Roman" w:eastAsia="仿宋_GB2312"/>
          <w:b w:val="0"/>
          <w:sz w:val="32"/>
          <w:szCs w:val="32"/>
        </w:rPr>
        <w:t>等支出；卫生健康</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支出14.26万元，占4%，主要用于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等支出；住房保障（类）支出20.07万元，占5.6%，主要用于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w:t>
      </w:r>
      <w:r>
        <w:rPr>
          <w:rFonts w:ascii="Times New Roman" w:eastAsia="仿宋_GB2312"/>
          <w:b w:val="0"/>
          <w:sz w:val="32"/>
          <w:szCs w:val="32"/>
        </w:rPr>
        <w:t>万元，占0%，主要</w:t>
      </w:r>
      <w:r>
        <w:rPr>
          <w:rFonts w:hint="eastAsia" w:ascii="Times New Roman" w:eastAsia="仿宋_GB2312"/>
          <w:b w:val="0"/>
          <w:sz w:val="32"/>
          <w:szCs w:val="32"/>
          <w:lang w:eastAsia="zh-CN"/>
        </w:rPr>
        <w:t>原因为我单位无政府性基金预算财政拨款支出。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一般公共服务（类）支出0万元，占0%，主要</w:t>
      </w:r>
      <w:r>
        <w:rPr>
          <w:rFonts w:hint="eastAsia" w:ascii="Times New Roman" w:eastAsia="仿宋_GB2312"/>
          <w:b w:val="0"/>
          <w:sz w:val="32"/>
          <w:szCs w:val="32"/>
          <w:lang w:eastAsia="zh-CN"/>
        </w:rPr>
        <w:t>原因是我单位无国有资本经营预算财政拨款支出。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2024年度财政拨款基本支出267.77万元，其中：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229.44万元，主要包括基本工资、津贴补贴、奖金、绩效工资、机关事业部门基本养老保险缴费、职业年金缴费、职工基本医疗保险缴费、公务员医疗补助缴费、住房公积金、其他社会保障缴费、其他工资福利支出、退休费、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38.32万元，主要包括办公费、印刷费、手续费、邮电费、取暖费、差旅费、培训费、委托业务费、工会经费、福利费、其他交通费用、税金及附加费用、其他商品和服务支出、办公设备购置、专用设备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万元，支出决算为0万元，完成预算的0%，较预算增加0万元，增长0%，主要原因是我单位未发生三公经费支出；较2023年度决算增加0万元，增长0%，主要原因是我单位未发生三公经费支出。</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本部门2024年度因公出国（境）费支出预算为0万元,支出决算0万元。完成预算的0%。因公出国（境）费支出较预算增加0万元，增长0%,主要原因是我单位未发 生因公出国（境）费支出；较上年增加0万元，增长0%,主要原因是我单位未发 生因公出国（境）费支出。因公出国（境）团组0个、共0人、参加其他单位组织的因公出国（境）团组0个、共0人/无本部门组织的出国（境）团组。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万元，支出决算0万元，完成预算的0.0%,较预算增加0万元，增长0%,主要原因是我单位公务用车归机关事务局公务用车平台统一使用；较上年增加0万元，增长0%,主要原因是我单位公务用车归机关事务局公务用车平台统一使用。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本部门2024年度公务用车购置量0辆，发生“公务用车购置”经费支出0万元。公务用车购置费支出较预算增加0万元，增长0%,主要原因是我单位未发生‘公务用车 购置’经费支出；较上年增加0万元，增长0%,主要原因是我单位未发生‘公务用车 购置’经费支出。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本部门2024年度单位公务用车保有量0辆，发生运行维护费支出0万元。公车运行维护费支出较预算增加0万元，增长0%,主要原因是主要是我单位未发生‘公务用车 运行维护’经费支出；较上年增加0万元，增长0%，主要原因是主要是我单位未发生‘公务用车 运行维护’经费支出。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我单位未发生公务接待经费支出；较上年度增加0万元，增长0%,主要原因是我单位未发生公务接待经费支出。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本部门2024年度机关运行经费支出38.32万元，较2023年度增加1.17万元，增长3.1%。主要原因是我单位有人员转正。</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0.28万元，从采购类型来看，政府采购货物支出0.28万元、政府采购工程支出0万元、政府采购服务支出0万元。授予中小企业合同金额0.28万元，占政府采购支出总额的100%，其中授予小微企业合同金额0.28万元，占政府采购支出总额的100</w:t>
      </w:r>
      <w:bookmarkStart w:id="0" w:name="_GoBack"/>
      <w:bookmarkEnd w:id="0"/>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截至2024年12月31日，本部门共有车辆0辆，比上年增加0辆，主要是主要是我单位公务用车归机关事务局公务用车平 台统一使用。其中，副部（省）级及以上领导用车0辆，主要负责人用车0辆，机要通信用车0辆，应急保障用车0辆，执法执勤用车0辆，特种专业技术用车0辆，离退休干部用车0辆，其他用车0辆，其他用车主要是主要是我单位公务用车归机关事务局公务用车平 台统一使用。单位价值100万元（含）以上设备（不含车辆）0台（套）。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87.77万元（决算金额）。其中，一般公共预算项目6个，涉及资金87.77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舆情中心运行费项目、网络安全技术支持项目、网络文明建设服务项目、涉军人员岗位工资项目、网络舆情监测直报项目、网络重点平台宣传项目等6个项目开展了部门重点评价，涉及一般公共预算支出87.77万元，政府性基金预算支出0万元，国有资本经营预算支出0万元，从评价情况来看，根据年初设定的绩效目标，按时间节点完成各项活动，及时支付项目资金，项目完成良好。</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本部门在今年部门决算公开中反映舆情中心运行费项目、网络安全技术支持项目、网络文明建设服务项目、涉军人员岗位工资项目、网络舆情监测直报项目、网络重点平台宣传项目等6个项目绩效自评结果。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b w:val="0"/>
          <w:sz w:val="32"/>
          <w:szCs w:val="32"/>
        </w:rPr>
        <w:t>舆情中心运行费项目绩效自评情况：</w:t>
      </w:r>
      <w:r>
        <w:rPr>
          <w:rFonts w:hint="eastAsia" w:ascii="Times New Roman" w:eastAsia="仿宋_GB2312" w:cs="宋体"/>
          <w:b w:val="0"/>
          <w:sz w:val="32"/>
          <w:szCs w:val="32"/>
        </w:rPr>
        <w:t>根据年初设定的绩效目标，舆情中心运行费项目绩效自评得分为100分（绩效自评表附后）。全年预算数为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完成了年初设定的各项绩效目标，已完成运用监测设备实现网络舆情全覆盖，并使用专业APP实时监测我区网上舆情信息，并在大数据筛选基础上进行人工分拣推送，舆情推送次数不少于1万条。提高精准度。同时新增图片和音视频两套监测系统</w:t>
      </w:r>
      <w:r>
        <w:rPr>
          <w:rFonts w:hint="eastAsia" w:ascii="Times New Roman" w:eastAsia="仿宋_GB2312" w:cs="宋体"/>
          <w:b w:val="0"/>
          <w:sz w:val="32"/>
          <w:szCs w:val="32"/>
          <w:lang w:eastAsia="zh-CN"/>
        </w:rPr>
        <w:t>，涉稳舆情处置率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网络安全技术支持项目绩效自评情况：根据年初设定的绩效目标，网络安全技术支持项目绩效自评得分为100分（绩效自评表附后）。全年预算数为</w:t>
      </w:r>
      <w:r>
        <w:rPr>
          <w:rFonts w:hint="eastAsia" w:ascii="Times New Roman" w:eastAsia="仿宋_GB2312" w:cs="宋体"/>
          <w:b w:val="0"/>
          <w:sz w:val="32"/>
          <w:szCs w:val="32"/>
          <w:lang w:val="en-US" w:eastAsia="zh-CN"/>
        </w:rPr>
        <w:t>10.74万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10.74</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100%。项目绩效目标完成情况：通过项目实施，完成了年初设定的各项绩效目标，</w:t>
      </w:r>
      <w:r>
        <w:rPr>
          <w:rFonts w:hint="eastAsia" w:ascii="Times New Roman" w:eastAsia="仿宋_GB2312" w:cs="宋体"/>
          <w:b w:val="0"/>
          <w:sz w:val="32"/>
          <w:szCs w:val="32"/>
          <w:lang w:eastAsia="zh-CN"/>
        </w:rPr>
        <w:t>已完成网络安全宣传周、网络安全应急演练等活动，活动次数5次；同时负责监测全区21个官方网站、系统、APP、终端等网络安全的技术服务，网络安全技术监测工作完成率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区网络文明建设服务项目绩效自评情况：根据年初设定的绩效目标，网络文明建设服务项目绩效自评得分为100分（绩效自评表附后）。全年预算数为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lang w:eastAsia="zh-CN"/>
        </w:rPr>
        <w:t>已完成开展有关网络文明正能量的线上、线下的宣传活动5次；依托网络文明素养基地开展“魅力鹿泉e路同行”网络主题宣传活动3次，谋划推动商业平台互动宣传和优秀新媒体作品征集展示活动（抖音、头条），加大全区网络正能量宣传。</w:t>
      </w:r>
      <w:r>
        <w:rPr>
          <w:rFonts w:hint="eastAsia" w:ascii="Times New Roman" w:eastAsia="仿宋_GB2312" w:cs="宋体"/>
          <w:b w:val="0"/>
          <w:sz w:val="32"/>
          <w:szCs w:val="32"/>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网络舆情监测直报项目绩效自评情况：根据年初设定的绩效目标，网络舆情监测直报项目绩效自评得分为 100分（绩效自评表附后）</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全年预算数为</w:t>
      </w:r>
      <w:r>
        <w:rPr>
          <w:rFonts w:hint="eastAsia" w:ascii="Times New Roman" w:eastAsia="仿宋_GB2312" w:cs="宋体"/>
          <w:b w:val="0"/>
          <w:sz w:val="32"/>
          <w:szCs w:val="32"/>
          <w:lang w:val="en-US" w:eastAsia="zh-CN"/>
        </w:rPr>
        <w:t>9.88万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9.88</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eastAsia="zh-CN"/>
        </w:rPr>
        <w:t>完成对政治类信息举报进行重点监测，提供省直报数量不少于8000条，同时配合石家庄市舆情监测并进行推送等技术服务，并做好网信办视频会议室信息技术维护工作。涉稳舆情处置率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网络重点平台宣传项目绩效自评情况：根据年初设定的 绩效目标，网络重点平台宣传项目绩效自评得分为 100 分（绩 效自评表附后）。全年预算数为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万元，执行数为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万元，完成预算的 100%。项目绩效目标完成情况：通过项目实施，完成了年初设定的各项绩效目标，</w:t>
      </w:r>
      <w:r>
        <w:rPr>
          <w:rFonts w:hint="eastAsia" w:ascii="Times New Roman" w:eastAsia="仿宋_GB2312" w:cs="宋体"/>
          <w:b w:val="0"/>
          <w:sz w:val="32"/>
          <w:szCs w:val="32"/>
          <w:lang w:eastAsia="zh-CN"/>
        </w:rPr>
        <w:t>已完成为提升鹿泉网络宣传效果，充分发挥新媒体传播速度快、覆盖范围广的优势，定期对鹿泉区内政务新媒体从业人员进行专题培训、专题培训次数不少于4次，在重点平台设置开屏广告，投放广告开屏数量不少于5个，建立宣传矩阵。</w:t>
      </w:r>
      <w:r>
        <w:rPr>
          <w:rFonts w:hint="eastAsia" w:ascii="Times New Roman" w:eastAsia="仿宋_GB2312" w:cs="宋体"/>
          <w:b w:val="0"/>
          <w:sz w:val="32"/>
          <w:szCs w:val="32"/>
        </w:rPr>
        <w:t>未发现问题。</w:t>
      </w:r>
    </w:p>
    <w:p>
      <w:pPr>
        <w:widowControl/>
        <w:spacing w:before="0" w:beforeLines="0" w:beforeAutospacing="0" w:after="0" w:afterLines="0" w:afterAutospacing="0" w:line="360" w:lineRule="auto"/>
        <w:ind w:firstLine="640" w:firstLineChars="200"/>
        <w:jc w:val="left"/>
        <w:rPr>
          <w:rFonts w:ascii="Times New Roman" w:eastAsia="仿宋_GB2312" w:cs="宋体"/>
          <w:b w:val="0"/>
          <w:sz w:val="32"/>
          <w:szCs w:val="32"/>
        </w:rPr>
      </w:pPr>
      <w:r>
        <w:rPr>
          <w:rFonts w:hint="eastAsia" w:ascii="Times New Roman" w:eastAsia="仿宋_GB2312" w:cs="宋体"/>
          <w:b w:val="0"/>
          <w:sz w:val="32"/>
          <w:szCs w:val="32"/>
        </w:rPr>
        <w:t>涉军岗位工资项目绩效自评情况：根据年初设定的绩效目标，涉军岗位工资项目绩效自评得分为 100 分（绩效自评表附后）。全年预算数为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万元，执行数为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rPr>
        <w:t>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 完成了年初设定的各项绩效目标，</w:t>
      </w:r>
      <w:r>
        <w:rPr>
          <w:rFonts w:ascii="Times New Roman" w:eastAsia="仿宋_GB2312" w:cs="宋体"/>
          <w:b w:val="0"/>
          <w:sz w:val="32"/>
          <w:szCs w:val="32"/>
        </w:rPr>
        <w:t>一是严格落实上级政策，对单位内部的退役军人进行妥善安置。二是及时发放本单位</w:t>
      </w:r>
      <w:r>
        <w:rPr>
          <w:rFonts w:hint="eastAsia" w:ascii="Times New Roman" w:eastAsia="仿宋_GB2312" w:cs="宋体"/>
          <w:b w:val="0"/>
          <w:sz w:val="32"/>
          <w:szCs w:val="32"/>
          <w:lang w:val="en-US" w:eastAsia="zh-CN"/>
        </w:rPr>
        <w:t>2</w:t>
      </w:r>
      <w:r>
        <w:rPr>
          <w:rFonts w:ascii="Times New Roman" w:eastAsia="仿宋_GB2312" w:cs="宋体"/>
          <w:b w:val="0"/>
          <w:sz w:val="32"/>
          <w:szCs w:val="32"/>
        </w:rPr>
        <w:t>名退役军人的工资待遇及相关补贴，保障其合法权益，按时足额发放工资，未发现问题。</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480" w:firstLineChars="200"/>
        <w:jc w:val="left"/>
      </w:pPr>
      <w:r>
        <w:drawing>
          <wp:inline distT="0" distB="0" distL="114300" distR="114300">
            <wp:extent cx="5756275" cy="5694045"/>
            <wp:effectExtent l="0" t="0" r="1587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9"/>
                    <a:stretch>
                      <a:fillRect/>
                    </a:stretch>
                  </pic:blipFill>
                  <pic:spPr>
                    <a:xfrm>
                      <a:off x="0" y="0"/>
                      <a:ext cx="5756275" cy="569404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755640" cy="5591175"/>
            <wp:effectExtent l="0" t="0" r="16510"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0"/>
                    <a:stretch>
                      <a:fillRect/>
                    </a:stretch>
                  </pic:blipFill>
                  <pic:spPr>
                    <a:xfrm>
                      <a:off x="0" y="0"/>
                      <a:ext cx="5755640" cy="559117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755640" cy="5137785"/>
            <wp:effectExtent l="0" t="0" r="16510" b="571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1"/>
                    <a:stretch>
                      <a:fillRect/>
                    </a:stretch>
                  </pic:blipFill>
                  <pic:spPr>
                    <a:xfrm>
                      <a:off x="0" y="0"/>
                      <a:ext cx="5755640" cy="513778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755640" cy="5998210"/>
            <wp:effectExtent l="0" t="0" r="16510" b="2540"/>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22"/>
                    <a:stretch>
                      <a:fillRect/>
                    </a:stretch>
                  </pic:blipFill>
                  <pic:spPr>
                    <a:xfrm>
                      <a:off x="0" y="0"/>
                      <a:ext cx="5755640" cy="599821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753735" cy="5288915"/>
            <wp:effectExtent l="0" t="0" r="18415" b="698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23"/>
                    <a:stretch>
                      <a:fillRect/>
                    </a:stretch>
                  </pic:blipFill>
                  <pic:spPr>
                    <a:xfrm>
                      <a:off x="0" y="0"/>
                      <a:ext cx="5753735" cy="528891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755640" cy="5145405"/>
            <wp:effectExtent l="0" t="0" r="16510" b="17145"/>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24"/>
                    <a:stretch>
                      <a:fillRect/>
                    </a:stretch>
                  </pic:blipFill>
                  <pic:spPr>
                    <a:xfrm>
                      <a:off x="0" y="0"/>
                      <a:ext cx="5755640" cy="514540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60E7EE57-96FD-4676-8050-5DF822ADA009}"/>
  </w:font>
  <w:font w:name="黑体">
    <w:panose1 w:val="02010609060101010101"/>
    <w:charset w:val="86"/>
    <w:family w:val="auto"/>
    <w:pitch w:val="default"/>
    <w:sig w:usb0="800002BF" w:usb1="38CF7CFA" w:usb2="00000016" w:usb3="00000000" w:csb0="00040001" w:csb1="00000000"/>
    <w:embedRegular r:id="rId2" w:fontKey="{FDA7C0E7-BC71-4187-AB7C-25239FFE5A7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27416B0F-DE5F-45B5-96A1-647709904205}"/>
  </w:font>
  <w:font w:name="仿宋">
    <w:panose1 w:val="02010609060101010101"/>
    <w:charset w:val="86"/>
    <w:family w:val="modern"/>
    <w:pitch w:val="default"/>
    <w:sig w:usb0="800002BF" w:usb1="38CF7CFA" w:usb2="00000016" w:usb3="00000000" w:csb0="00040001" w:csb1="00000000"/>
    <w:embedRegular r:id="rId4" w:fontKey="{1B949B3B-FF70-4F8B-89FB-2E95F080EA74}"/>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D8BC14FC-EAC3-43A6-9D17-AA1C330B056B}"/>
  </w:font>
  <w:font w:name="方正小标宋_GBK">
    <w:panose1 w:val="02000000000000000000"/>
    <w:charset w:val="86"/>
    <w:family w:val="script"/>
    <w:pitch w:val="default"/>
    <w:sig w:usb0="00000000" w:usb1="00000000" w:usb2="00000000" w:usb3="00000000" w:csb0="00000000" w:csb1="00000000"/>
    <w:embedRegular r:id="rId6" w:fontKey="{AA0B8073-1DB2-4F8F-ADB0-7E944A47B490}"/>
  </w:font>
  <w:font w:name="仿宋_GB2312">
    <w:panose1 w:val="02010609030101010101"/>
    <w:charset w:val="86"/>
    <w:family w:val="auto"/>
    <w:pitch w:val="default"/>
    <w:sig w:usb0="00000000" w:usb1="00000000" w:usb2="00000000" w:usb3="00000000" w:csb0="00000000" w:csb1="00000000"/>
    <w:embedRegular r:id="rId7" w:fontKey="{876E7442-0DA9-4429-9C93-30943C29007B}"/>
  </w:font>
  <w:font w:name="ArialUnicodeMS">
    <w:altName w:val="Malgun Gothic"/>
    <w:panose1 w:val="00000000000000000000"/>
    <w:charset w:val="81"/>
    <w:family w:val="auto"/>
    <w:pitch w:val="default"/>
    <w:sig w:usb0="00000000" w:usb1="00000000" w:usb2="00000010" w:usb3="00000000" w:csb0="00080001" w:csb1="00000000"/>
    <w:embedRegular r:id="rId8" w:fontKey="{18F11193-FC90-4EC9-B0FA-945F6AFB9B90}"/>
  </w:font>
  <w:font w:name="方正仿宋_GB2312">
    <w:panose1 w:val="02000000000000000000"/>
    <w:charset w:val="86"/>
    <w:family w:val="auto"/>
    <w:pitch w:val="default"/>
    <w:sig w:usb0="00000000" w:usb1="00000000" w:usb2="00000000" w:usb3="00000000" w:csb0="00000000" w:csb1="00000000"/>
    <w:embedRegular r:id="rId9" w:fontKey="{8E4539CA-643A-498F-A4AB-221419C56F84}"/>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23ED8"/>
    <w:rsid w:val="01A03C5A"/>
    <w:rsid w:val="01A5267D"/>
    <w:rsid w:val="01AF6A8D"/>
    <w:rsid w:val="023D4A79"/>
    <w:rsid w:val="024808A2"/>
    <w:rsid w:val="025C3821"/>
    <w:rsid w:val="02846C0C"/>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1418C4"/>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EE721EA"/>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9F282F"/>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8907E1"/>
    <w:rsid w:val="49A35E02"/>
    <w:rsid w:val="49AE2880"/>
    <w:rsid w:val="49F42EAF"/>
    <w:rsid w:val="4A337323"/>
    <w:rsid w:val="4A5B28DC"/>
    <w:rsid w:val="4AA06B93"/>
    <w:rsid w:val="4ADB18EB"/>
    <w:rsid w:val="4B044F42"/>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7773D"/>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00088B"/>
    <w:rsid w:val="75272439"/>
    <w:rsid w:val="758F1E9B"/>
    <w:rsid w:val="75CE266B"/>
    <w:rsid w:val="76120141"/>
    <w:rsid w:val="768216BE"/>
    <w:rsid w:val="76C23B43"/>
    <w:rsid w:val="76E45DF2"/>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285498"/>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ascii="Arial" w:hAnsi="Arial" w:eastAsia="黑体"/>
      <w:sz w:val="20"/>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345.82</c:v>
                </c:pt>
                <c:pt idx="1">
                  <c:v>355.53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3555332.77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2677673.73</c:v>
                </c:pt>
                <c:pt idx="1">
                  <c:v>877659.04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345.82</c:v>
                </c:pt>
                <c:pt idx="1">
                  <c:v>345.82</c:v>
                </c:pt>
                <c:pt idx="2">
                  <c:v>345.82</c:v>
                </c:pt>
                <c:pt idx="3">
                  <c:v>345.82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355.53</c:v>
                </c:pt>
                <c:pt idx="1">
                  <c:v>355.53</c:v>
                </c:pt>
                <c:pt idx="2">
                  <c:v>355.53</c:v>
                </c:pt>
                <c:pt idx="3">
                  <c:v>355.53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290.13</c:v>
                </c:pt>
                <c:pt idx="1">
                  <c:v>0</c:v>
                </c:pt>
                <c:pt idx="2">
                  <c:v>0</c:v>
                </c:pt>
                <c:pt idx="3">
                  <c:v>0</c:v>
                </c:pt>
                <c:pt idx="4">
                  <c:v>0</c:v>
                </c:pt>
                <c:pt idx="5">
                  <c:v>0</c:v>
                </c:pt>
                <c:pt idx="6">
                  <c:v>0</c:v>
                </c:pt>
                <c:pt idx="7">
                  <c:v>31.07</c:v>
                </c:pt>
                <c:pt idx="8">
                  <c:v>14.26</c:v>
                </c:pt>
                <c:pt idx="9">
                  <c:v>0</c:v>
                </c:pt>
                <c:pt idx="10">
                  <c:v>0</c:v>
                </c:pt>
                <c:pt idx="11">
                  <c:v>0</c:v>
                </c:pt>
                <c:pt idx="12">
                  <c:v>0</c:v>
                </c:pt>
                <c:pt idx="13">
                  <c:v>0</c:v>
                </c:pt>
                <c:pt idx="14">
                  <c:v>0</c:v>
                </c:pt>
                <c:pt idx="15">
                  <c:v>0</c:v>
                </c:pt>
                <c:pt idx="16">
                  <c:v>0</c:v>
                </c:pt>
                <c:pt idx="17">
                  <c:v>0</c:v>
                </c:pt>
                <c:pt idx="18">
                  <c:v>20.07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333</TotalTime>
  <ScaleCrop>false</ScaleCrop>
  <LinksUpToDate>false</LinksUpToDate>
  <CharactersWithSpaces>2170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2025-09-22T07:19:36Z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