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eastAsia="仿宋_GB2312"/>
          <w:sz w:val="32"/>
          <w:szCs w:val="32"/>
        </w:rPr>
        <w:t>负责处理区委网络安全和信息化委员会日常事务工作。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eastAsia="仿宋_GB2312"/>
          <w:sz w:val="32"/>
          <w:szCs w:val="32"/>
          <w:lang w:eastAsia="zh-CN"/>
        </w:rPr>
        <w:t>贯彻落实网络安全和信息化发展战略、宏观规划和重大政策。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eastAsia="仿宋_GB2312"/>
          <w:sz w:val="32"/>
          <w:szCs w:val="32"/>
          <w:lang w:eastAsia="zh-CN"/>
        </w:rPr>
        <w:t>统筹协调全区网络安全保障体系和可信体系建设。</w:t>
      </w:r>
    </w:p>
    <w:p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统筹协调组织互联网宣传管理和舆论引导工作，维护互联网意识形态安全工作。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督促落实涉及政治、经济、文化、社会、生态及军事</w:t>
      </w:r>
      <w:r>
        <w:rPr>
          <w:rFonts w:hint="eastAsia" w:ascii="仿宋_GB2312" w:eastAsia="仿宋_GB2312"/>
          <w:sz w:val="32"/>
          <w:szCs w:val="32"/>
        </w:rPr>
        <w:t>等各个领域的网络安全和信息化重大事项；负责协调处理网络安全和信息化重大突发事</w:t>
      </w:r>
      <w:r>
        <w:rPr>
          <w:rFonts w:hint="eastAsia" w:ascii="仿宋_GB2312" w:eastAsia="仿宋_GB2312"/>
          <w:sz w:val="32"/>
          <w:szCs w:val="32"/>
          <w:lang w:eastAsia="zh-CN"/>
        </w:rPr>
        <w:t>件</w:t>
      </w:r>
      <w:r>
        <w:rPr>
          <w:rFonts w:hint="eastAsia" w:ascii="仿宋_GB2312" w:eastAsia="仿宋_GB2312"/>
          <w:sz w:val="32"/>
          <w:szCs w:val="32"/>
        </w:rPr>
        <w:t>与有关应急工作。</w:t>
      </w:r>
    </w:p>
    <w:p>
      <w:pPr>
        <w:pStyle w:val="11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六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</w:rPr>
        <w:t>负责指导协调全区网络舆情信息工作。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七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eastAsia="zh-CN"/>
        </w:rPr>
        <w:t>指导全区</w:t>
      </w:r>
      <w:r>
        <w:rPr>
          <w:rFonts w:hint="eastAsia" w:ascii="仿宋_GB2312" w:eastAsia="仿宋_GB2312"/>
          <w:sz w:val="32"/>
          <w:szCs w:val="32"/>
        </w:rPr>
        <w:t>有关部门</w:t>
      </w:r>
      <w:r>
        <w:rPr>
          <w:rFonts w:hint="eastAsia" w:ascii="仿宋_GB2312" w:eastAsia="仿宋_GB2312"/>
          <w:sz w:val="32"/>
          <w:szCs w:val="32"/>
          <w:lang w:eastAsia="zh-CN"/>
        </w:rPr>
        <w:t>及单位</w:t>
      </w:r>
      <w:r>
        <w:rPr>
          <w:rFonts w:hint="eastAsia" w:ascii="仿宋_GB2312" w:eastAsia="仿宋_GB2312"/>
          <w:sz w:val="32"/>
          <w:szCs w:val="32"/>
        </w:rPr>
        <w:t>网络安全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信息化工作。完成市委网络安全和信息化委员会办公室（市互联网信息办公室）和区委、区政府及区委网络安全和信息化委员会</w:t>
      </w:r>
      <w:r>
        <w:rPr>
          <w:rFonts w:hint="eastAsia" w:ascii="仿宋_GB2312" w:eastAsia="仿宋_GB2312"/>
          <w:sz w:val="32"/>
          <w:szCs w:val="32"/>
          <w:lang w:eastAsia="zh-CN"/>
        </w:rPr>
        <w:t>、区委宣传部</w:t>
      </w:r>
      <w:r>
        <w:rPr>
          <w:rFonts w:hint="eastAsia" w:ascii="仿宋_GB2312" w:eastAsia="仿宋_GB2312"/>
          <w:sz w:val="32"/>
          <w:szCs w:val="32"/>
        </w:rPr>
        <w:t>交办的其他事项。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pStyle w:val="6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年底共计6个事业编，8个行政编，人员新调入1名行政编制人员。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</w:rPr>
        <w:t>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355.53</w:t>
      </w:r>
      <w:r>
        <w:rPr>
          <w:rFonts w:hint="eastAsia" w:ascii="仿宋_GB2312" w:hAnsi="仿宋" w:eastAsia="仿宋_GB2312"/>
          <w:sz w:val="32"/>
          <w:szCs w:val="32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355.53</w:t>
      </w:r>
      <w:r>
        <w:rPr>
          <w:rFonts w:hint="eastAsia" w:ascii="仿宋_GB2312" w:hAnsi="仿宋" w:eastAsia="仿宋_GB2312"/>
          <w:sz w:val="32"/>
          <w:szCs w:val="32"/>
        </w:rPr>
        <w:t>万元，基金预算收入0万元，财政专户核拨收入0万元，其他来源收入0万元。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2024年支出预算为355.53万元，267.77万元，占总支出的75.31%，人员经费229.44万元，日常公用38.32万元。项目支出87.77万元，主要是网络舆情监测直报项目9.88万元、舆情中心运行费28.96万元、网络安全技术支持项目10.74万元、网络文明建设服务项目15万元、网络重点平台宣传项目11.72万元、退役士兵安置项目11.46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运用监测设备实现网络舆情全覆盖，并使用专业APP实时监测我区网上舆情信息，并在大数据筛选基础上进行人工分拣推送，舆情推送次数不少于1万条。提高精准度。同时新增图片和音视频两套监测系统;为提升鹿泉网络宣传效果，充分发挥新媒体传播速度快、覆盖范围广的优势，定期对鹿泉区内政务新媒体从业人员进行专</w:t>
      </w:r>
      <w:r>
        <w:rPr>
          <w:rFonts w:hint="eastAsia" w:ascii="仿宋" w:hAnsi="仿宋" w:eastAsia="仿宋"/>
          <w:sz w:val="32"/>
          <w:szCs w:val="32"/>
          <w:highlight w:val="none"/>
        </w:rPr>
        <w:t>题培训、专题培训次数不少于4次，在重点平台设置开屏广告，投放广告开屏数量不少于5个，建立宣传矩阵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；对政治类信息举报进行重点监测，提供省直报数量不少于8000条，同时配合石家庄市舆情监测并进行推送等技术服务，并做好网信办视频会议室信息技术维护工作；开展有关网络文明正能量的线上、线下的宣传活动5次；依托网络文明素养基地开展“魅力鹿泉e路同行”网络主题宣传活动3次，谋划推动商业平台互动宣传和优秀新媒体作品征集展示活动（抖音、头条），加大全区网络正能量宣传；开展网络安全宣传周、网络安全</w:t>
      </w:r>
      <w:r>
        <w:rPr>
          <w:rFonts w:hint="eastAsia" w:ascii="仿宋" w:hAnsi="仿宋" w:eastAsia="仿宋"/>
          <w:sz w:val="32"/>
          <w:szCs w:val="32"/>
          <w:lang w:eastAsia="zh-CN"/>
        </w:rPr>
        <w:t>应急演练等活动，活动次数不少于5次；同时负责监测全区21个官方网站、系统、APP、终端等网络安全的技术服务；</w:t>
      </w:r>
      <w:r>
        <w:rPr>
          <w:rFonts w:hint="eastAsia" w:ascii="仿宋" w:hAnsi="仿宋" w:eastAsia="仿宋"/>
          <w:sz w:val="32"/>
          <w:szCs w:val="32"/>
        </w:rPr>
        <w:t>及时发放本单位2名退役军人公益岗的工资待遇及相关补贴，保障其合法权益。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严格落实《预算法》及省、市、区绩效管理工作的有关规定，通过开展部门整体支出绩效评价，促进部门整体预算绩效管理工作水平的提升，强化部门支出责任，规范资金管理行为，提高财政资金使用效益，保障部门更好地履行职责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根据区财政局《关于开展202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年绩效自评工作的通知》相关要求，对202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年部门所有区级预算项目进行绩效自评，我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收到通知后高度重视，对此项工作进行了安排部署，成立部门预算项目绩效评价领导小组，严格按照文件要求对标对表，通过查账目、检查系统运行情况等方式，认真对照绩效自评，对我部门202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年区级预算项目进行自查自评，形成绩效评价报告。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Style w:val="2"/>
        <w:ind w:firstLine="640" w:firstLineChars="200"/>
        <w:rPr>
          <w:rFonts w:hint="eastAsia"/>
        </w:rPr>
      </w:pPr>
      <w:r>
        <w:rPr>
          <w:rFonts w:hint="eastAsia"/>
        </w:rPr>
        <w:t>本次评价工作坚持“客观、公正、科学、规范”的原则，采</w:t>
      </w:r>
    </w:p>
    <w:p>
      <w:pPr>
        <w:pStyle w:val="2"/>
        <w:rPr>
          <w:rFonts w:hint="eastAsia"/>
        </w:rPr>
      </w:pPr>
      <w:r>
        <w:rPr>
          <w:rFonts w:hint="eastAsia"/>
        </w:rPr>
        <w:t>用业务处室自评与工作组复评相结合的方式进行。在自评的基础</w:t>
      </w:r>
    </w:p>
    <w:p>
      <w:pPr>
        <w:pStyle w:val="2"/>
        <w:rPr>
          <w:rFonts w:hint="eastAsia"/>
        </w:rPr>
      </w:pPr>
      <w:r>
        <w:rPr>
          <w:rFonts w:hint="eastAsia"/>
        </w:rPr>
        <w:t>上，通过多种方式，搜集并审核相关绩效材料，运用比较分析、</w:t>
      </w:r>
    </w:p>
    <w:p>
      <w:pPr>
        <w:pStyle w:val="2"/>
        <w:rPr>
          <w:rFonts w:hint="eastAsia"/>
        </w:rPr>
      </w:pPr>
      <w:r>
        <w:rPr>
          <w:rFonts w:hint="eastAsia"/>
        </w:rPr>
        <w:t>因素分析、成本效益分析等方法，综合评价该项目绩效。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本年度专项工作经费管理规范，按计划基本完成，确保了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各项工作正常运转和圆满完成，各科室对该项工作总体较为满意。对各项职能指标完成情况进行了自检自查,各项工作均已</w:t>
      </w:r>
    </w:p>
    <w:p>
      <w:pPr>
        <w:spacing w:line="560" w:lineRule="exact"/>
      </w:pPr>
      <w:r>
        <w:rPr>
          <w:rFonts w:hint="eastAsia" w:ascii="仿宋" w:hAnsi="仿宋" w:eastAsia="仿宋"/>
          <w:sz w:val="32"/>
          <w:szCs w:val="32"/>
        </w:rPr>
        <w:t>基本完成，专项资金绩效评价自评为优秀。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年舆情中心运行费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：已完成运用监测设备实现网络舆情全覆盖，并使用专业APP实时监测我区网上舆情信息，并在大数据筛选基础上进行人工分拣推送，舆情推送次数不少于1万条。提高精准度。同时新增图片和音视频两套监测系统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</w:rPr>
        <w:t>区网络文明建设服务项目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开展有关网络文明正能量的线上、线下的宣传活动5次；依托网络文明素养基地开展“魅力鹿泉e路同行”网络主题宣传活动3次，谋划推动商业平台互动宣传和优秀新媒体作品征集展示活动（抖音、头条），加大全区网络正能量宣传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</w:rPr>
        <w:t>网络安全技术支持项目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完成情况：已完成网络安全宣传周、网络安全应急演练等活动，活动次数5次；同时负责监测全区21个官方网站、系统、APP、终端等网络安全的技术服务。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网络重点平台宣传项目完成情况：已完成为提升鹿泉网络宣传效果，充分发挥新媒体传播速度快、覆盖范围广的优势，定期对鹿泉区内政务新媒体从业人员进行专题培训、专题培训次数不少于4次，在重点平台设置开屏广告，投放广告开屏数量不少于5个，建立宣传矩阵。</w:t>
      </w:r>
    </w:p>
    <w:p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年网络舆情监测直报项目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完成情况：已完成对政治类信息举报进行重点监测，提供省直报数量不少于8000条，同时配合石家庄市舆情监测并进行推送等技术服务，并做好网信办视频会议室信息技术维护工作。涉稳舆情处置率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年涉军岗位工资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</w:t>
      </w:r>
      <w:r>
        <w:rPr>
          <w:rFonts w:hint="eastAsia" w:ascii="仿宋" w:hAnsi="仿宋" w:eastAsia="仿宋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已严格落实上级政策，对单位内部的退役军人进行妥善安置。二是及时发放本单位2名退役军人的工资待遇及相关补贴，保障其合法权益。涉军岗位工资、补贴及时足额发放率100%。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tbl>
      <w:tblPr>
        <w:tblStyle w:val="9"/>
        <w:tblW w:w="102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2"/>
        <w:gridCol w:w="1935"/>
        <w:gridCol w:w="2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项目名称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自评得分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年舆情中心运行费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年区网络文明建设服务项目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年网络安全技术支持项目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 w:eastAsia="仿宋_GB2312"/>
                <w:vertAlign w:val="baseline"/>
                <w:lang w:eastAsia="zh-CN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 w:eastAsia="仿宋_GB2312"/>
                <w:vertAlign w:val="baseline"/>
                <w:lang w:eastAsia="zh-CN"/>
              </w:rPr>
              <w:t>年网络重点平台宣传项目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年网络舆情监测直报项目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年涉军岗位工资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</w:tbl>
    <w:p>
      <w:pPr>
        <w:pStyle w:val="11"/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>
      <w:pPr>
        <w:pStyle w:val="11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>
      <w:pPr>
        <w:pStyle w:val="11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崔琰玮  鹿泉区委网信办副主任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4751BA3"/>
    <w:multiLevelType w:val="singleLevel"/>
    <w:tmpl w:val="B4751BA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0FE158E0"/>
    <w:rsid w:val="11B71E6A"/>
    <w:rsid w:val="14210508"/>
    <w:rsid w:val="1AAF0063"/>
    <w:rsid w:val="1B1567A2"/>
    <w:rsid w:val="1BE140DE"/>
    <w:rsid w:val="23544CE0"/>
    <w:rsid w:val="248C197D"/>
    <w:rsid w:val="252959AF"/>
    <w:rsid w:val="25AF7530"/>
    <w:rsid w:val="26987B19"/>
    <w:rsid w:val="277A6671"/>
    <w:rsid w:val="292D35B7"/>
    <w:rsid w:val="29E0121C"/>
    <w:rsid w:val="313762FE"/>
    <w:rsid w:val="31CD41AC"/>
    <w:rsid w:val="32817910"/>
    <w:rsid w:val="33EB6CFF"/>
    <w:rsid w:val="34BE5846"/>
    <w:rsid w:val="35A12947"/>
    <w:rsid w:val="37387040"/>
    <w:rsid w:val="3AEC191D"/>
    <w:rsid w:val="3B625C0A"/>
    <w:rsid w:val="3CEE1963"/>
    <w:rsid w:val="3E2E38CB"/>
    <w:rsid w:val="436B78D3"/>
    <w:rsid w:val="45CB42B4"/>
    <w:rsid w:val="4C9C27FE"/>
    <w:rsid w:val="4DA11D33"/>
    <w:rsid w:val="50041800"/>
    <w:rsid w:val="512260B4"/>
    <w:rsid w:val="52BD6ACB"/>
    <w:rsid w:val="55537534"/>
    <w:rsid w:val="561A74F1"/>
    <w:rsid w:val="597244E8"/>
    <w:rsid w:val="5EB71C30"/>
    <w:rsid w:val="61542F40"/>
    <w:rsid w:val="63090CF6"/>
    <w:rsid w:val="66AF0CE5"/>
    <w:rsid w:val="67F81EBA"/>
    <w:rsid w:val="6AC537CF"/>
    <w:rsid w:val="6E5B14A6"/>
    <w:rsid w:val="711B255E"/>
    <w:rsid w:val="74ED31D9"/>
    <w:rsid w:val="7BB51E06"/>
    <w:rsid w:val="7C1E5E6C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  <w:rPr>
      <w:kern w:val="2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toc 2"/>
    <w:next w:val="1"/>
    <w:qFormat/>
    <w:uiPriority w:val="0"/>
    <w:pPr>
      <w:widowControl w:val="0"/>
      <w:jc w:val="both"/>
    </w:pPr>
    <w:rPr>
      <w:rFonts w:ascii="黑体" w:hAnsi="黑体" w:eastAsia="黑体" w:cs="仿宋_GB2312"/>
      <w:b/>
      <w:color w:val="000000"/>
      <w:kern w:val="2"/>
      <w:sz w:val="32"/>
      <w:szCs w:val="32"/>
      <w:lang w:val="en-US" w:eastAsia="zh-CN" w:bidi="ar-SA"/>
    </w:rPr>
  </w:style>
  <w:style w:type="paragraph" w:styleId="7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table" w:styleId="9">
    <w:name w:val="Table Grid"/>
    <w:basedOn w:val="8"/>
    <w:qFormat/>
    <w:uiPriority w:val="0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customStyle="1" w:styleId="13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4</TotalTime>
  <ScaleCrop>false</ScaleCrop>
  <LinksUpToDate>false</LinksUpToDate>
  <CharactersWithSpaces>669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2025-04-29T01:34:41Z</cp:lastPrinted>
  <dcterms:modified xsi:type="dcterms:W3CDTF">2025-04-29T01:35:33Z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96934721B1514D3FBAA28020338CE855_12</vt:lpwstr>
  </property>
</Properties>
</file>