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eastAsia="仿宋_GB2312"/>
          <w:sz w:val="32"/>
          <w:szCs w:val="32"/>
        </w:rPr>
        <w:t>负责处理区委网络安全和信息化委员会日常事务工作。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eastAsia="仿宋_GB2312"/>
          <w:sz w:val="32"/>
          <w:szCs w:val="32"/>
          <w:lang w:eastAsia="zh-CN"/>
        </w:rPr>
        <w:t>贯彻落实网络安全和信息化发展战略、宏观规划和重大政策。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eastAsia="仿宋_GB2312"/>
          <w:sz w:val="32"/>
          <w:szCs w:val="32"/>
          <w:lang w:eastAsia="zh-CN"/>
        </w:rPr>
        <w:t>统筹协调全区网络安全保障体系和可信体系建设。</w:t>
      </w:r>
    </w:p>
    <w:p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统筹协调组织互联网宣传管理和舆论引导工作，维护互联网意识形态安全工作。</w:t>
      </w:r>
    </w:p>
    <w:p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督促落实涉及政治、经济、文化、社会、生态及军事</w:t>
      </w:r>
      <w:r>
        <w:rPr>
          <w:rFonts w:hint="eastAsia" w:ascii="仿宋_GB2312" w:eastAsia="仿宋_GB2312"/>
          <w:sz w:val="32"/>
          <w:szCs w:val="32"/>
        </w:rPr>
        <w:t>等各个领域的网络安全和信息化重大事项；负责协调处理网络安全和信息化重大突发事</w:t>
      </w:r>
      <w:r>
        <w:rPr>
          <w:rFonts w:hint="eastAsia" w:ascii="仿宋_GB2312" w:eastAsia="仿宋_GB2312"/>
          <w:sz w:val="32"/>
          <w:szCs w:val="32"/>
          <w:lang w:eastAsia="zh-CN"/>
        </w:rPr>
        <w:t>件</w:t>
      </w:r>
      <w:r>
        <w:rPr>
          <w:rFonts w:hint="eastAsia" w:ascii="仿宋_GB2312" w:eastAsia="仿宋_GB2312"/>
          <w:sz w:val="32"/>
          <w:szCs w:val="32"/>
        </w:rPr>
        <w:t>与有关应急工作。</w:t>
      </w:r>
    </w:p>
    <w:p>
      <w:pPr>
        <w:pStyle w:val="11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六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</w:rPr>
        <w:t>负责指导协调全区网络舆情信息工作。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七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eastAsia="zh-CN"/>
        </w:rPr>
        <w:t>指导全区</w:t>
      </w:r>
      <w:r>
        <w:rPr>
          <w:rFonts w:hint="eastAsia" w:ascii="仿宋_GB2312" w:eastAsia="仿宋_GB2312"/>
          <w:sz w:val="32"/>
          <w:szCs w:val="32"/>
        </w:rPr>
        <w:t>有关部门</w:t>
      </w:r>
      <w:r>
        <w:rPr>
          <w:rFonts w:hint="eastAsia" w:ascii="仿宋_GB2312" w:eastAsia="仿宋_GB2312"/>
          <w:sz w:val="32"/>
          <w:szCs w:val="32"/>
          <w:lang w:eastAsia="zh-CN"/>
        </w:rPr>
        <w:t>及单位</w:t>
      </w:r>
      <w:r>
        <w:rPr>
          <w:rFonts w:hint="eastAsia" w:ascii="仿宋_GB2312" w:eastAsia="仿宋_GB2312"/>
          <w:sz w:val="32"/>
          <w:szCs w:val="32"/>
        </w:rPr>
        <w:t>网络安全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信息化工作。完成市委网络安全和信息化委员会办公室（市互联网信息办公室）和区委、区政府及区委网络安全和信息化委员会</w:t>
      </w:r>
      <w:r>
        <w:rPr>
          <w:rFonts w:hint="eastAsia" w:ascii="仿宋_GB2312" w:eastAsia="仿宋_GB2312"/>
          <w:sz w:val="32"/>
          <w:szCs w:val="32"/>
          <w:lang w:eastAsia="zh-CN"/>
        </w:rPr>
        <w:t>、区委宣传部</w:t>
      </w:r>
      <w:r>
        <w:rPr>
          <w:rFonts w:hint="eastAsia" w:ascii="仿宋_GB2312" w:eastAsia="仿宋_GB2312"/>
          <w:sz w:val="32"/>
          <w:szCs w:val="32"/>
        </w:rPr>
        <w:t>交办的其他事项。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pStyle w:val="6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年底共计6个事业编，7个行政编，人员新增1名，为新录用选调生。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年度收入合计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万元，其中：财政拨款收入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；事业收入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；附属单位上缴收入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>
      <w:pPr>
        <w:pStyle w:val="12"/>
        <w:spacing w:line="240" w:lineRule="auto"/>
        <w:ind w:firstLine="561"/>
        <w:rPr>
          <w:rFonts w:hint="eastAsia" w:eastAsia="仿宋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年度支出合计</w:t>
      </w:r>
      <w:r>
        <w:rPr>
          <w:rFonts w:hint="eastAsia" w:ascii="仿宋_GB2312" w:hAnsi="仿宋" w:eastAsia="仿宋_GB2312"/>
          <w:sz w:val="32"/>
          <w:szCs w:val="32"/>
        </w:rPr>
        <w:t>345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.82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</w:t>
      </w:r>
      <w:r>
        <w:rPr>
          <w:rFonts w:ascii="仿宋" w:hAnsi="仿宋" w:eastAsia="仿宋"/>
          <w:sz w:val="32"/>
          <w:szCs w:val="32"/>
        </w:rPr>
        <w:t>其中基本支出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254.99万</w:t>
      </w:r>
      <w:r>
        <w:rPr>
          <w:rFonts w:ascii="仿宋" w:hAnsi="仿宋" w:eastAsia="仿宋"/>
          <w:sz w:val="32"/>
          <w:szCs w:val="32"/>
        </w:rPr>
        <w:t>元，包括人员经费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217.84</w:t>
      </w:r>
      <w:r>
        <w:rPr>
          <w:rFonts w:ascii="仿宋" w:hAnsi="仿宋" w:eastAsia="仿宋"/>
          <w:sz w:val="32"/>
          <w:szCs w:val="32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37.15</w:t>
      </w:r>
      <w:r>
        <w:rPr>
          <w:rFonts w:ascii="仿宋" w:hAnsi="仿宋" w:eastAsia="仿宋"/>
          <w:sz w:val="32"/>
          <w:szCs w:val="32"/>
        </w:rPr>
        <w:t>万元。项目支出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90.82</w:t>
      </w:r>
      <w:r>
        <w:rPr>
          <w:rFonts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 w:cs="仿宋_GB2312"/>
          <w:sz w:val="32"/>
          <w:szCs w:val="32"/>
        </w:rPr>
        <w:t>主要是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网络舆情监测直报项目、舆情中心运行费、网络安全技术支持项目、网络文明建设服务项目、网络重点平台宣传项</w:t>
      </w:r>
      <w:r>
        <w:rPr>
          <w:rFonts w:hint="eastAsia" w:ascii="仿宋_GB2312" w:hAnsi="Times New Roman" w:eastAsia="仿宋_GB2312" w:cs="仿宋_GB2312"/>
          <w:sz w:val="32"/>
          <w:szCs w:val="32"/>
        </w:rPr>
        <w:t>目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等共计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79.33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万元；退役士兵安置项目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11.49万元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Times New Roman" w:eastAsia="仿宋_GB2312" w:cs="仿宋_GB2312"/>
          <w:sz w:val="32"/>
          <w:szCs w:val="32"/>
        </w:rPr>
        <w:t>其他支出0万元。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完成利用人工和软件相结合的方式，使用专业APP实时监测我区网上舆情信息，进行24小时不间断的舆情监测，负责对舆情进行搜集、分析、研判，并在大数据筛选基础上进行人工分拣推送，提高精准度，报送时间小于2小时并会同有关单位对有害信息进行及时处置，维护晴朗的网络环境;根据《网络安全事件应急预案》对政治类信息举报进行重点监测，提供省直报数量8000</w:t>
      </w:r>
      <w:r>
        <w:rPr>
          <w:rFonts w:hint="eastAsia" w:ascii="仿宋" w:hAnsi="仿宋" w:eastAsia="仿宋"/>
          <w:sz w:val="32"/>
          <w:szCs w:val="32"/>
          <w:lang w:eastAsia="zh-CN"/>
        </w:rPr>
        <w:t>余</w:t>
      </w:r>
      <w:r>
        <w:rPr>
          <w:rFonts w:hint="eastAsia" w:ascii="仿宋" w:hAnsi="仿宋" w:eastAsia="仿宋"/>
          <w:sz w:val="32"/>
          <w:szCs w:val="32"/>
        </w:rPr>
        <w:t>条，同时配合石家庄市舆情监测并进行推送等技术服务，并做好网信办视频会议室信息技术维护工作</w:t>
      </w:r>
      <w:r>
        <w:rPr>
          <w:rFonts w:hint="eastAsia" w:ascii="仿宋" w:hAnsi="仿宋" w:eastAsia="仿宋"/>
          <w:sz w:val="32"/>
          <w:szCs w:val="32"/>
          <w:lang w:eastAsia="zh-CN"/>
        </w:rPr>
        <w:t>；根据三定方案，对全区网络安全进行宣传和技术支持,主要包括进行网络安全宣传周、网络安全应急演练等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线</w:t>
      </w:r>
      <w:r>
        <w:rPr>
          <w:rFonts w:hint="eastAsia" w:ascii="仿宋" w:hAnsi="仿宋" w:eastAsia="仿宋"/>
          <w:sz w:val="32"/>
          <w:szCs w:val="32"/>
          <w:lang w:eastAsia="zh-CN"/>
        </w:rPr>
        <w:t>下活动（场景攻防、流程演练等）,同时负则监测全区21个官方网站、系统、APP、终端等网络安全漏洞的技术服务，对信息系统的安全性、可用性、脆弱性等风险监测，专业人员和技术工具上门检测；为提升鹿泉网络宣传效果，充分发挥新媒体传播速度快、覆盖范围广的优势，围绕鹿泉城市特色拍摄制作城市宣传片，并进行相应宣传，生动展示鹿泉良好形象。突出鹿泉区新一代电子信息产业和文旅特色，并对宣传片在抖音、微博、今日头条等新媒体平台进行推广宣传。积极组织开展有关网络文明正能量的线上、线下的评选活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lang w:eastAsia="zh-CN"/>
        </w:rPr>
        <w:t>，积极组织开展“好网民”等正能量的网络宣传，建设网络文明素养基地、宣传基地阵地建设，增强网络文明意识；</w:t>
      </w:r>
      <w:r>
        <w:rPr>
          <w:rFonts w:hint="eastAsia" w:ascii="仿宋" w:hAnsi="仿宋" w:eastAsia="仿宋"/>
          <w:sz w:val="32"/>
          <w:szCs w:val="32"/>
        </w:rPr>
        <w:t>及时发放本单位2名退役军人公益岗的工资待遇及相关补贴，保障其合法权益。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严格落实《预算法》及省、市、区绩效管理工作的有关规定，通过开展部门整体支出绩效评价，促进部门整体预算绩效管理工作水平的提升，强化部门支出责任，规范资金管理行为，提高财政资金使用效益，保障部门更好地履行职责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根据区财政局《关于开展202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年绩效自评工作的通知》相关要求，对202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年部门所有区级预算项目进行绩效自评，我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收到通知后高度重视，对此项工作进行了安排部署，成立部门预算项目绩效评价领导小组，严格按照文件要求对标对表，通过查账目、检查系统运行情况等方式，认真对照绩效自评，对我部门202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年区级预算项目进行自查自评，形成绩效评价报告。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Style w:val="2"/>
        <w:ind w:firstLine="640" w:firstLineChars="200"/>
        <w:rPr>
          <w:rFonts w:hint="eastAsia"/>
        </w:rPr>
      </w:pPr>
      <w:r>
        <w:rPr>
          <w:rFonts w:hint="eastAsia"/>
        </w:rPr>
        <w:t>本次评价工作坚持“客观、公正、科学、规范”的原则，采</w:t>
      </w:r>
    </w:p>
    <w:p>
      <w:pPr>
        <w:pStyle w:val="2"/>
        <w:rPr>
          <w:rFonts w:hint="eastAsia"/>
        </w:rPr>
      </w:pPr>
      <w:r>
        <w:rPr>
          <w:rFonts w:hint="eastAsia"/>
        </w:rPr>
        <w:t>用业务处室自评与工作组复评相结合的方式进行。在自评的基础</w:t>
      </w:r>
    </w:p>
    <w:p>
      <w:pPr>
        <w:pStyle w:val="2"/>
        <w:rPr>
          <w:rFonts w:hint="eastAsia"/>
        </w:rPr>
      </w:pPr>
      <w:r>
        <w:rPr>
          <w:rFonts w:hint="eastAsia"/>
        </w:rPr>
        <w:t>上，通过多种方式，搜集并审核相关绩效材料，运用比较分析、</w:t>
      </w:r>
    </w:p>
    <w:p>
      <w:pPr>
        <w:pStyle w:val="2"/>
        <w:rPr>
          <w:rFonts w:hint="eastAsia"/>
        </w:rPr>
      </w:pPr>
      <w:r>
        <w:rPr>
          <w:rFonts w:hint="eastAsia"/>
        </w:rPr>
        <w:t>因素分析、成本效益分析等方法，综合评价该项目绩效。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本年度专项工作经费管理规范，按计划基本完成，确保了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各项工作正常运转和圆满完成，各科室对该项工作总体较为满意。对各项职能指标完成情况进行了自检自查,各项工作均已</w:t>
      </w:r>
    </w:p>
    <w:p>
      <w:pPr>
        <w:spacing w:line="560" w:lineRule="exact"/>
      </w:pPr>
      <w:r>
        <w:rPr>
          <w:rFonts w:hint="eastAsia" w:ascii="仿宋" w:hAnsi="仿宋" w:eastAsia="仿宋"/>
          <w:sz w:val="32"/>
          <w:szCs w:val="32"/>
        </w:rPr>
        <w:t>基本完成，专项资金绩效评价自评为优秀。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2023年舆情中心运行费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项目完成情况：一是</w:t>
      </w:r>
      <w:r>
        <w:rPr>
          <w:rFonts w:hint="eastAsia" w:ascii="仿宋" w:hAnsi="仿宋" w:eastAsia="仿宋"/>
          <w:sz w:val="32"/>
          <w:szCs w:val="32"/>
        </w:rPr>
        <w:t>完成利用人工和软件相结合的方式，使用专业APP实时监测我区网上舆情信息，进行24小时不间断的舆情监测，负责对舆情进行搜集、分析、研判，并在大数据筛选基础上进行人工分拣推送，提高精准度，报送时间小于2小时并会同有关单位对有害信息进行及时处置</w:t>
      </w:r>
      <w:r>
        <w:rPr>
          <w:rFonts w:hint="eastAsia" w:ascii="仿宋" w:hAnsi="仿宋" w:eastAsia="仿宋"/>
          <w:sz w:val="32"/>
          <w:szCs w:val="32"/>
          <w:lang w:eastAsia="zh-CN"/>
        </w:rPr>
        <w:t>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</w:rPr>
        <w:t>区网络文明建设服务项目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完成情况：已积极组织开展有关网络文明正能量的线上、线下的评选活动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5次</w:t>
      </w:r>
      <w:r>
        <w:rPr>
          <w:rFonts w:hint="eastAsia" w:ascii="仿宋" w:hAnsi="仿宋" w:eastAsia="仿宋"/>
          <w:sz w:val="32"/>
          <w:szCs w:val="32"/>
          <w:lang w:eastAsia="zh-CN"/>
        </w:rPr>
        <w:t>，开展宣传活动次数完成率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</w:t>
      </w:r>
      <w:r>
        <w:rPr>
          <w:rFonts w:hint="eastAsia" w:ascii="仿宋" w:hAnsi="仿宋" w:eastAsia="仿宋"/>
          <w:sz w:val="32"/>
          <w:szCs w:val="32"/>
          <w:lang w:eastAsia="zh-CN"/>
        </w:rPr>
        <w:t>积极组织开展“好网民”等正能量的网络宣传，建设网络文明素养基地、宣传基地阵地建设，增强网络文明意识。</w:t>
      </w:r>
    </w:p>
    <w:p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</w:rPr>
        <w:t>网络安全技术支持项目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完成情况：已完成网络安全宣传周、网络安全应急演练等活动，活动次数5次；同时负责监测全区21个官方网站、系统、APP、终端等网络安全的技术服务，网络安全技术监测工作完成率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2023年网络重点平台宣传项目完成情况：已完成为提升鹿泉网络宣传效果，充分发挥新媒体传播速度快、覆盖范围广的优势，围绕鹿泉城市特色拍摄制作城市宣传片，并进行相应宣传，生动展示鹿泉良好形象。突出鹿泉区新一代电子信息产业和文旅特色，并对宣传片在抖音、微博、今日头条等新媒体平台进行推广宣传。</w:t>
      </w:r>
    </w:p>
    <w:p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2023年网络舆情监测直报项目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完成情况：已完成对政治类信息举报进行重点监测，提供省直报数量不少于8000条，同时配合石家庄市舆情监测并进行推送等技术服务，并做好网信办视频会议室信息技术维护工作。涉稳舆情处置率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2023年涉军岗位工资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</w:t>
      </w:r>
      <w:r>
        <w:rPr>
          <w:rFonts w:hint="eastAsia" w:ascii="仿宋" w:hAnsi="仿宋" w:eastAsia="仿宋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已严格落实上级政策，对单位内部的退役军人公益岗进行妥善安置。二是及时发放本单位2名退役军人公益岗的工资待遇及相关补贴，保障其合法权益。涉军岗位工资、补贴及时足额发放率100%。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tbl>
      <w:tblPr>
        <w:tblStyle w:val="9"/>
        <w:tblW w:w="102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2"/>
        <w:gridCol w:w="1935"/>
        <w:gridCol w:w="21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项目名称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自评得分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2023年舆情中心运行费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2023年区网络文明建设服务项目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2023年网络安全技术支持项目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 w:eastAsia="仿宋_GB2312"/>
                <w:vertAlign w:val="baseline"/>
                <w:lang w:eastAsia="zh-CN"/>
              </w:rPr>
              <w:t>2023年网络重点平台宣传项目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2023年网络舆情监测直报项目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2023年涉军岗位工资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</w:tbl>
    <w:p>
      <w:pPr>
        <w:pStyle w:val="11"/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>
      <w:pPr>
        <w:pStyle w:val="11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>
      <w:pPr>
        <w:pStyle w:val="11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崔琰玮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4751BA3"/>
    <w:multiLevelType w:val="singleLevel"/>
    <w:tmpl w:val="B4751BA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210508"/>
    <w:rsid w:val="1AAF0063"/>
    <w:rsid w:val="1B1567A2"/>
    <w:rsid w:val="1BE140DE"/>
    <w:rsid w:val="23544CE0"/>
    <w:rsid w:val="248C197D"/>
    <w:rsid w:val="252959AF"/>
    <w:rsid w:val="25AF7530"/>
    <w:rsid w:val="26987B19"/>
    <w:rsid w:val="277A6671"/>
    <w:rsid w:val="292D35B7"/>
    <w:rsid w:val="29E0121C"/>
    <w:rsid w:val="313762FE"/>
    <w:rsid w:val="31CD41AC"/>
    <w:rsid w:val="32817910"/>
    <w:rsid w:val="33EB6CFF"/>
    <w:rsid w:val="34BE5846"/>
    <w:rsid w:val="35A12947"/>
    <w:rsid w:val="37387040"/>
    <w:rsid w:val="3B625C0A"/>
    <w:rsid w:val="3CEE1963"/>
    <w:rsid w:val="3E2E38CB"/>
    <w:rsid w:val="436B78D3"/>
    <w:rsid w:val="45CB42B4"/>
    <w:rsid w:val="4C9C27FE"/>
    <w:rsid w:val="4DA11D33"/>
    <w:rsid w:val="50041800"/>
    <w:rsid w:val="512260B4"/>
    <w:rsid w:val="52BD6ACB"/>
    <w:rsid w:val="55537534"/>
    <w:rsid w:val="561A74F1"/>
    <w:rsid w:val="597244E8"/>
    <w:rsid w:val="5EB71C30"/>
    <w:rsid w:val="61542F40"/>
    <w:rsid w:val="66AF0CE5"/>
    <w:rsid w:val="67F81EBA"/>
    <w:rsid w:val="6AC537CF"/>
    <w:rsid w:val="6E5B14A6"/>
    <w:rsid w:val="711B255E"/>
    <w:rsid w:val="74ED31D9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  <w:rPr>
      <w:kern w:val="2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toc 2"/>
    <w:next w:val="1"/>
    <w:qFormat/>
    <w:uiPriority w:val="0"/>
    <w:pPr>
      <w:widowControl w:val="0"/>
      <w:jc w:val="both"/>
    </w:pPr>
    <w:rPr>
      <w:rFonts w:ascii="黑体" w:hAnsi="黑体" w:eastAsia="黑体" w:cs="仿宋_GB2312"/>
      <w:b/>
      <w:color w:val="000000"/>
      <w:kern w:val="2"/>
      <w:sz w:val="32"/>
      <w:szCs w:val="32"/>
      <w:lang w:val="en-US" w:eastAsia="zh-CN" w:bidi="ar-SA"/>
    </w:rPr>
  </w:style>
  <w:style w:type="paragraph" w:styleId="7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table" w:styleId="9">
    <w:name w:val="Table Grid"/>
    <w:basedOn w:val="8"/>
    <w:qFormat/>
    <w:uiPriority w:val="0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customStyle="1" w:styleId="13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0</TotalTime>
  <ScaleCrop>false</ScaleCrop>
  <LinksUpToDate>false</LinksUpToDate>
  <CharactersWithSpaces>669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2024-04-23T01:08:37Z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96934721B1514D3FBAA28020338CE855_12</vt:lpwstr>
  </property>
</Properties>
</file>