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cs="Times New Roman" w:eastAsiaTheme="minorEastAsia"/>
          <w:bCs/>
          <w:sz w:val="21"/>
          <w:szCs w:val="21"/>
        </w:rPr>
      </w:pPr>
      <w:r>
        <w:rPr>
          <w:rFonts w:hint="eastAsia" w:ascii="方正小标宋_GBK" w:hAnsi="Times New Roman" w:cs="Times New Roman" w:eastAsiaTheme="minorEastAsia"/>
          <w:bCs/>
          <w:sz w:val="21"/>
          <w:szCs w:val="21"/>
        </w:rPr>
        <w:t>中共石家庄市鹿泉区委网络安全和信息化委员会办公室</w:t>
      </w:r>
      <w:r>
        <w:rPr>
          <w:rFonts w:hint="eastAsia" w:ascii="方正小标宋_GBK" w:hAnsi="Times New Roman" w:eastAsia="方正小标宋_GBK" w:cs="Times New Roman"/>
          <w:bCs/>
          <w:sz w:val="21"/>
          <w:szCs w:val="21"/>
        </w:rPr>
        <w:t>2020年部门预算信息公开情况说明</w:t>
      </w:r>
    </w:p>
    <w:p>
      <w:pPr>
        <w:ind w:firstLine="640"/>
        <w:rPr>
          <w:rFonts w:ascii="Times New Roman" w:hAnsi="Times New Roman" w:eastAsia="仿宋" w:cs="Times New Roman"/>
          <w:sz w:val="21"/>
          <w:szCs w:val="21"/>
        </w:rPr>
      </w:pPr>
    </w:p>
    <w:p>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按照《中华人民共和国预算法</w:t>
      </w:r>
      <w:bookmarkStart w:id="11" w:name="_GoBack"/>
      <w:bookmarkEnd w:id="11"/>
      <w:r>
        <w:rPr>
          <w:rFonts w:hint="eastAsia" w:ascii="Times New Roman" w:hAnsi="Times New Roman" w:eastAsia="仿宋" w:cs="Times New Roman"/>
          <w:sz w:val="21"/>
          <w:szCs w:val="21"/>
        </w:rPr>
        <w:t>》、《地方预决算公开操作规程》和《河北省省级预算公开办法》规定，现将中共石家庄市鹿泉区委网络安全和信息化委员会办公室2020年部门预算公开如下：</w:t>
      </w:r>
    </w:p>
    <w:p>
      <w:pPr>
        <w:ind w:firstLine="640"/>
        <w:rPr>
          <w:rFonts w:ascii="黑体" w:hAnsi="黑体" w:eastAsia="黑体" w:cs="Times New Roman"/>
          <w:sz w:val="21"/>
          <w:szCs w:val="21"/>
        </w:rPr>
      </w:pPr>
      <w:r>
        <w:rPr>
          <w:rFonts w:hint="eastAsia" w:ascii="黑体" w:hAnsi="黑体" w:eastAsia="黑体" w:cs="Times New Roman"/>
          <w:sz w:val="21"/>
          <w:szCs w:val="21"/>
        </w:rPr>
        <w:t>一、部门职责及机构设置情况</w:t>
      </w:r>
    </w:p>
    <w:p>
      <w:pPr>
        <w:ind w:firstLine="640"/>
        <w:rPr>
          <w:rFonts w:ascii="Times New Roman" w:hAnsi="Times New Roman" w:eastAsia="仿宋" w:cs="Times New Roman"/>
          <w:sz w:val="21"/>
          <w:szCs w:val="21"/>
        </w:rPr>
      </w:pPr>
      <w:r>
        <w:rPr>
          <w:rFonts w:hint="eastAsia" w:ascii="仿宋" w:hAnsi="仿宋" w:eastAsia="仿宋" w:cs="Times New Roman"/>
          <w:b/>
          <w:sz w:val="21"/>
          <w:szCs w:val="21"/>
        </w:rPr>
        <w:t>部门</w:t>
      </w:r>
      <w:r>
        <w:rPr>
          <w:rFonts w:ascii="仿宋" w:hAnsi="仿宋" w:eastAsia="仿宋" w:cs="Times New Roman"/>
          <w:b/>
          <w:sz w:val="21"/>
          <w:szCs w:val="21"/>
        </w:rPr>
        <w:t>职责：</w:t>
      </w:r>
      <w:r>
        <w:rPr>
          <w:rFonts w:hint="eastAsia" w:ascii="Times New Roman" w:hAnsi="Times New Roman" w:eastAsia="仿宋" w:cs="Times New Roman"/>
          <w:sz w:val="21"/>
          <w:szCs w:val="21"/>
        </w:rPr>
        <w:t>根据《中共石家庄市鹿泉区委网络安全和信息化委员会职能配置、内设机构和人员编制规定》， 中共石家庄市鹿泉区委网络安全和信息化委员会办公室的主要职责是：</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督促落实涉及政治、经济、文化、社会、生态及军事等各个领域的网络安全和信息化重大事项；负责协调处理网络安全和信息化重大突发事件与有关应急工作。</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负责指导协调全区网络舆情信息工作。手机、分析、研判、报送和处置网络舆情信息，依法规范舆情服务市场。</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推动全区网络阵地建设和重点新闻网站规划建设。指导协调网络游戏、网络视听、网络出版等相关业务；推动移动互联网发展，会同有关部门推动传统媒体与新兴媒体融合发展；负责全区网站转载新闻稿源的管理。</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协调推动全区网络社会工作和网络文化、网络文明建设；发展、联系、服务网络社会组织，指导互联网行业自律和网站党建工作。</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指导网络金融信息服务业务，负责网络金融信息服务市场监管，协调金融监管部门建立全区网络金融信息发布、传播监管制度及工作机制。</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拟订网络安全和信息化干部人才队伍发展规划，负责网信系统干部教育培训和人才队伍建设，指导全区互联网新闻嘻嘻服务从业人员教育培训和考评工作，组织开展网络媒介素养教育。</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组织开展相关领域对外交流与合作。</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指导全区有关部门及单位网络安全和信息化工作。</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完成市委网络安全和信息化委员会办公室（市互联网信息办公室）和区委</w:t>
      </w:r>
      <w:r>
        <w:rPr>
          <w:rFonts w:hint="eastAsia" w:ascii="Times New Roman" w:hAnsi="Times New Roman" w:eastAsia="仿宋" w:cs="Times New Roman"/>
          <w:sz w:val="21"/>
          <w:szCs w:val="21"/>
        </w:rPr>
        <w:t>、</w:t>
      </w:r>
      <w:r>
        <w:rPr>
          <w:rFonts w:ascii="Times New Roman" w:hAnsi="Times New Roman" w:eastAsia="仿宋" w:cs="Times New Roman"/>
          <w:sz w:val="21"/>
          <w:szCs w:val="21"/>
        </w:rPr>
        <w:t>区政府及区委网络安全和信息化委员会、区委宣传部交办的其他事项。</w:t>
      </w:r>
    </w:p>
    <w:p>
      <w:pPr>
        <w:ind w:firstLine="422" w:firstLineChars="200"/>
        <w:rPr>
          <w:rFonts w:ascii="仿宋" w:hAnsi="仿宋" w:eastAsia="仿宋" w:cs="Times New Roman"/>
          <w:b/>
          <w:sz w:val="21"/>
          <w:szCs w:val="21"/>
        </w:rPr>
      </w:pPr>
      <w:r>
        <w:rPr>
          <w:rFonts w:hint="eastAsia" w:ascii="仿宋" w:hAnsi="仿宋" w:eastAsia="仿宋" w:cs="Times New Roman"/>
          <w:b/>
          <w:sz w:val="21"/>
          <w:szCs w:val="21"/>
        </w:rPr>
        <w:t>机构设置：</w:t>
      </w:r>
    </w:p>
    <w:p>
      <w:pPr>
        <w:jc w:val="center"/>
        <w:outlineLvl w:val="0"/>
        <w:rPr>
          <w:rFonts w:ascii="Times New Roman" w:hAnsi="Times New Roman" w:eastAsia="方正小标宋_GBK" w:cs="Times New Roman"/>
          <w:sz w:val="21"/>
          <w:szCs w:val="21"/>
        </w:rPr>
      </w:pPr>
      <w:r>
        <w:rPr>
          <w:rFonts w:ascii="Times New Roman" w:hAnsi="Times New Roman" w:eastAsia="方正小标宋_GBK" w:cs="Times New Roman"/>
          <w:sz w:val="21"/>
          <w:szCs w:val="21"/>
        </w:rPr>
        <w:t>部门</w:t>
      </w:r>
      <w:r>
        <w:rPr>
          <w:rFonts w:hint="eastAsia" w:ascii="Times New Roman" w:hAnsi="Times New Roman" w:eastAsia="方正小标宋_GBK" w:cs="Times New Roman"/>
          <w:sz w:val="21"/>
          <w:szCs w:val="21"/>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单位名称</w:t>
            </w:r>
          </w:p>
        </w:tc>
        <w:tc>
          <w:tcPr>
            <w:tcW w:w="1134" w:type="dxa"/>
            <w:vMerge w:val="restart"/>
            <w:vAlign w:val="center"/>
          </w:tcPr>
          <w:p>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单位性质</w:t>
            </w:r>
          </w:p>
        </w:tc>
        <w:tc>
          <w:tcPr>
            <w:tcW w:w="1276" w:type="dxa"/>
            <w:vMerge w:val="restart"/>
            <w:vAlign w:val="center"/>
          </w:tcPr>
          <w:p>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单位规格</w:t>
            </w:r>
          </w:p>
        </w:tc>
        <w:tc>
          <w:tcPr>
            <w:tcW w:w="2902" w:type="dxa"/>
            <w:vMerge w:val="restart"/>
            <w:vAlign w:val="center"/>
          </w:tcPr>
          <w:p>
            <w:pPr>
              <w:spacing w:line="300" w:lineRule="exact"/>
              <w:jc w:val="center"/>
              <w:rPr>
                <w:rFonts w:ascii="仿宋" w:hAnsi="仿宋" w:eastAsia="仿宋" w:cs="Times New Roman"/>
                <w:b/>
                <w:sz w:val="21"/>
                <w:szCs w:val="21"/>
              </w:rPr>
            </w:pPr>
            <w:r>
              <w:rPr>
                <w:rFonts w:ascii="仿宋" w:hAnsi="仿宋" w:eastAsia="仿宋" w:cs="Times New Roman"/>
                <w:b/>
                <w:sz w:val="21"/>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 w:hAnsi="仿宋" w:eastAsia="仿宋" w:cs="Times New Roman"/>
                <w:sz w:val="21"/>
                <w:szCs w:val="21"/>
              </w:rPr>
            </w:pPr>
          </w:p>
        </w:tc>
        <w:tc>
          <w:tcPr>
            <w:tcW w:w="1134" w:type="dxa"/>
            <w:vMerge w:val="continue"/>
            <w:vAlign w:val="center"/>
          </w:tcPr>
          <w:p>
            <w:pPr>
              <w:spacing w:line="300" w:lineRule="exact"/>
              <w:jc w:val="left"/>
              <w:outlineLvl w:val="0"/>
              <w:rPr>
                <w:rFonts w:ascii="仿宋" w:hAnsi="仿宋" w:eastAsia="仿宋" w:cs="Times New Roman"/>
                <w:sz w:val="21"/>
                <w:szCs w:val="21"/>
              </w:rPr>
            </w:pPr>
          </w:p>
        </w:tc>
        <w:tc>
          <w:tcPr>
            <w:tcW w:w="1276" w:type="dxa"/>
            <w:vMerge w:val="continue"/>
            <w:vAlign w:val="center"/>
          </w:tcPr>
          <w:p>
            <w:pPr>
              <w:spacing w:line="300" w:lineRule="exact"/>
              <w:jc w:val="left"/>
              <w:outlineLvl w:val="0"/>
              <w:rPr>
                <w:rFonts w:ascii="仿宋" w:hAnsi="仿宋" w:eastAsia="仿宋" w:cs="Times New Roman"/>
                <w:sz w:val="21"/>
                <w:szCs w:val="21"/>
              </w:rPr>
            </w:pPr>
          </w:p>
        </w:tc>
        <w:tc>
          <w:tcPr>
            <w:tcW w:w="2902" w:type="dxa"/>
            <w:vMerge w:val="continue"/>
            <w:vAlign w:val="center"/>
          </w:tcPr>
          <w:p>
            <w:pPr>
              <w:spacing w:line="300" w:lineRule="exact"/>
              <w:jc w:val="left"/>
              <w:outlineLvl w:val="0"/>
              <w:rPr>
                <w:rFonts w:ascii="仿宋" w:hAnsi="仿宋" w:eastAsia="仿宋" w:cs="Times New Roman"/>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 w:hAnsi="仿宋" w:eastAsia="仿宋" w:cs="Times New Roman"/>
                <w:sz w:val="21"/>
                <w:szCs w:val="21"/>
                <w:highlight w:val="yellow"/>
              </w:rPr>
            </w:pPr>
            <w:r>
              <w:rPr>
                <w:rFonts w:hint="eastAsia" w:ascii="Times New Roman" w:hAnsi="Times New Roman" w:eastAsia="仿宋" w:cs="Times New Roman"/>
                <w:sz w:val="21"/>
                <w:szCs w:val="21"/>
              </w:rPr>
              <w:t>中共石家庄市鹿泉区委网络安全和信息化委员会办公室</w:t>
            </w:r>
          </w:p>
        </w:tc>
        <w:tc>
          <w:tcPr>
            <w:tcW w:w="1134" w:type="dxa"/>
            <w:vAlign w:val="center"/>
          </w:tcPr>
          <w:p>
            <w:pPr>
              <w:spacing w:line="300" w:lineRule="exact"/>
              <w:jc w:val="center"/>
              <w:rPr>
                <w:rFonts w:ascii="仿宋" w:hAnsi="仿宋" w:eastAsia="仿宋" w:cs="Times New Roman"/>
                <w:sz w:val="21"/>
                <w:szCs w:val="21"/>
              </w:rPr>
            </w:pPr>
            <w:r>
              <w:rPr>
                <w:rFonts w:hint="eastAsia" w:ascii="仿宋" w:hAnsi="仿宋" w:eastAsia="仿宋"/>
                <w:sz w:val="21"/>
                <w:szCs w:val="21"/>
              </w:rPr>
              <w:t>行政</w:t>
            </w:r>
          </w:p>
        </w:tc>
        <w:tc>
          <w:tcPr>
            <w:tcW w:w="1276" w:type="dxa"/>
            <w:vAlign w:val="center"/>
          </w:tcPr>
          <w:p>
            <w:pPr>
              <w:spacing w:line="300" w:lineRule="exact"/>
              <w:jc w:val="center"/>
              <w:rPr>
                <w:rFonts w:ascii="仿宋" w:hAnsi="仿宋" w:eastAsia="仿宋" w:cs="Times New Roman"/>
                <w:sz w:val="21"/>
                <w:szCs w:val="21"/>
              </w:rPr>
            </w:pPr>
            <w:r>
              <w:rPr>
                <w:rFonts w:hint="eastAsia" w:ascii="仿宋" w:hAnsi="仿宋" w:eastAsia="仿宋"/>
                <w:sz w:val="21"/>
                <w:szCs w:val="21"/>
              </w:rPr>
              <w:t>正科级</w:t>
            </w:r>
          </w:p>
        </w:tc>
        <w:tc>
          <w:tcPr>
            <w:tcW w:w="2902" w:type="dxa"/>
            <w:vAlign w:val="center"/>
          </w:tcPr>
          <w:p>
            <w:pPr>
              <w:spacing w:line="300" w:lineRule="exact"/>
              <w:jc w:val="center"/>
              <w:rPr>
                <w:rFonts w:ascii="仿宋" w:hAnsi="仿宋" w:eastAsia="仿宋" w:cs="Times New Roman"/>
                <w:sz w:val="21"/>
                <w:szCs w:val="21"/>
              </w:rPr>
            </w:pPr>
            <w:r>
              <w:rPr>
                <w:rFonts w:hint="eastAsia" w:ascii="仿宋" w:hAnsi="仿宋" w:eastAsia="仿宋"/>
                <w:sz w:val="21"/>
                <w:szCs w:val="21"/>
              </w:rPr>
              <w:t>财政拨款</w:t>
            </w:r>
          </w:p>
        </w:tc>
      </w:tr>
    </w:tbl>
    <w:p>
      <w:pPr>
        <w:ind w:firstLine="640"/>
        <w:rPr>
          <w:rFonts w:ascii="黑体" w:hAnsi="黑体" w:eastAsia="黑体" w:cs="Times New Roman"/>
          <w:sz w:val="21"/>
          <w:szCs w:val="21"/>
        </w:rPr>
      </w:pPr>
      <w:r>
        <w:rPr>
          <w:rFonts w:hint="eastAsia" w:ascii="黑体" w:hAnsi="黑体" w:eastAsia="黑体" w:cs="Times New Roman"/>
          <w:sz w:val="21"/>
          <w:szCs w:val="21"/>
        </w:rPr>
        <w:t>二、部门预算安排的总体情况</w:t>
      </w:r>
    </w:p>
    <w:p>
      <w:pPr>
        <w:ind w:firstLine="640"/>
        <w:rPr>
          <w:rFonts w:ascii="Times New Roman" w:hAnsi="Times New Roman" w:eastAsia="仿宋" w:cs="Times New Roman"/>
          <w:sz w:val="21"/>
          <w:szCs w:val="21"/>
        </w:rPr>
      </w:pPr>
      <w:r>
        <w:rPr>
          <w:rFonts w:ascii="Times New Roman" w:hAnsi="Times New Roman" w:eastAsia="仿宋" w:cs="Times New Roman"/>
          <w:sz w:val="21"/>
          <w:szCs w:val="21"/>
        </w:rPr>
        <w:t>按照预算管理有关规定，目前我省部门预算的编制实行综合预算</w:t>
      </w:r>
      <w:r>
        <w:rPr>
          <w:rFonts w:hint="eastAsia" w:ascii="Times New Roman" w:hAnsi="Times New Roman" w:eastAsia="仿宋" w:cs="Times New Roman"/>
          <w:sz w:val="21"/>
          <w:szCs w:val="21"/>
        </w:rPr>
        <w:t>管理</w:t>
      </w:r>
      <w:r>
        <w:rPr>
          <w:rFonts w:ascii="Times New Roman" w:hAnsi="Times New Roman" w:eastAsia="仿宋" w:cs="Times New Roman"/>
          <w:sz w:val="21"/>
          <w:szCs w:val="21"/>
        </w:rPr>
        <w:t>，即全部收入和支出都反映的预算中。</w:t>
      </w:r>
      <w:r>
        <w:rPr>
          <w:rFonts w:hint="eastAsia" w:ascii="Times New Roman" w:hAnsi="Times New Roman" w:eastAsia="仿宋" w:cs="Times New Roman"/>
          <w:sz w:val="21"/>
          <w:szCs w:val="21"/>
        </w:rPr>
        <w:t>中共石家庄市鹿泉区委网络安全和信息化委员会办公室</w:t>
      </w:r>
      <w:r>
        <w:rPr>
          <w:rFonts w:ascii="Times New Roman" w:hAnsi="Times New Roman" w:eastAsia="仿宋" w:cs="Times New Roman"/>
          <w:sz w:val="21"/>
          <w:szCs w:val="21"/>
        </w:rPr>
        <w:t>及所属事业单位的收支包含在部门预算中。</w:t>
      </w:r>
    </w:p>
    <w:p>
      <w:pPr>
        <w:numPr>
          <w:ilvl w:val="0"/>
          <w:numId w:val="1"/>
        </w:numPr>
        <w:rPr>
          <w:rFonts w:ascii="Times New Roman" w:hAnsi="Times New Roman" w:eastAsia="仿宋" w:cs="Times New Roman"/>
          <w:sz w:val="21"/>
          <w:szCs w:val="21"/>
        </w:rPr>
      </w:pPr>
      <w:r>
        <w:rPr>
          <w:rFonts w:ascii="Times New Roman" w:hAnsi="Times New Roman" w:eastAsia="仿宋" w:cs="Times New Roman"/>
          <w:sz w:val="21"/>
          <w:szCs w:val="21"/>
        </w:rPr>
        <w:t>收入说明</w:t>
      </w:r>
    </w:p>
    <w:p>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反映本部门当年全部收入。2020年预算收入260.70万元，其中：一般公共预算收入260.70万元，基金预算收入0万元，财政专户核拨收入0万元，其他来源收入0万元。</w:t>
      </w:r>
    </w:p>
    <w:p>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支出说明</w:t>
      </w:r>
    </w:p>
    <w:p>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收支预算总表支出栏、基本支出表、项目支出表按经济分类和支出功能分类科目编制，反映中共石家庄市鹿泉区委网络安全和信息化委员会办公室年度部门预算中支出预算的总体情况。2020年部门支出预算为260.70万元，其中基本支出206.29万元，包括人员经费182.07万元和日常公用经费24.22万元；项目支出54.41万元，主要为行政运行支出1.00万元，一般行政管理事务支出7.41万元，信息安全事务支出37万元，其他网信事务支出9万元。</w:t>
      </w:r>
    </w:p>
    <w:p>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比上年增减情况</w:t>
      </w:r>
    </w:p>
    <w:p>
      <w:pPr>
        <w:ind w:firstLine="640"/>
        <w:rPr>
          <w:rFonts w:ascii="Times New Roman" w:hAnsi="Times New Roman" w:eastAsia="仿宋" w:cs="Times New Roman"/>
          <w:sz w:val="21"/>
          <w:szCs w:val="21"/>
        </w:rPr>
      </w:pPr>
      <w:r>
        <w:rPr>
          <w:rFonts w:hint="eastAsia" w:ascii="Times New Roman" w:hAnsi="Times New Roman" w:eastAsia="仿宋" w:cs="Times New Roman"/>
          <w:color w:val="000000"/>
          <w:sz w:val="21"/>
          <w:szCs w:val="21"/>
        </w:rPr>
        <w:t>2020年部门预算收支安排</w:t>
      </w:r>
      <w:r>
        <w:rPr>
          <w:rFonts w:hint="eastAsia" w:ascii="Times New Roman" w:hAnsi="Times New Roman" w:eastAsia="仿宋" w:cs="Times New Roman"/>
          <w:sz w:val="21"/>
          <w:szCs w:val="21"/>
        </w:rPr>
        <w:t>260.70</w:t>
      </w:r>
      <w:r>
        <w:rPr>
          <w:rFonts w:hint="eastAsia" w:ascii="Times New Roman" w:hAnsi="Times New Roman" w:eastAsia="仿宋" w:cs="Times New Roman"/>
          <w:color w:val="000000"/>
          <w:sz w:val="21"/>
          <w:szCs w:val="21"/>
        </w:rPr>
        <w:t>万元，</w:t>
      </w:r>
      <w:r>
        <w:rPr>
          <w:rFonts w:hint="eastAsia" w:ascii="Times New Roman" w:hAnsi="Times New Roman" w:eastAsia="仿宋" w:cs="Times New Roman"/>
          <w:sz w:val="21"/>
          <w:szCs w:val="21"/>
        </w:rPr>
        <w:t>较2019年增加104.71万元，其中：基本支出增加107.78万元，主要是新成立单位，人员陆续增加，相应增加人员经费和日常公用经费；项目支出减少3.07万元。</w:t>
      </w:r>
    </w:p>
    <w:p>
      <w:pPr>
        <w:autoSpaceDE w:val="0"/>
        <w:autoSpaceDN w:val="0"/>
        <w:adjustRightInd w:val="0"/>
        <w:ind w:firstLine="630" w:firstLineChars="300"/>
        <w:jc w:val="left"/>
        <w:rPr>
          <w:rFonts w:ascii="黑体" w:hAnsi="黑体" w:eastAsia="黑体" w:cs="Times New Roman"/>
          <w:sz w:val="21"/>
          <w:szCs w:val="21"/>
        </w:rPr>
      </w:pPr>
      <w:r>
        <w:rPr>
          <w:rFonts w:hint="eastAsia" w:ascii="黑体" w:hAnsi="黑体" w:eastAsia="黑体" w:cs="Times New Roman"/>
          <w:sz w:val="21"/>
          <w:szCs w:val="21"/>
        </w:rPr>
        <w:t>三、机关运行经费安排情况</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2020年，我部门机关运行经费共计安排24.22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420" w:firstLineChars="200"/>
        <w:jc w:val="left"/>
        <w:rPr>
          <w:rFonts w:ascii="黑体" w:hAnsi="黑体" w:eastAsia="黑体" w:cs="Times New Roman"/>
          <w:sz w:val="21"/>
          <w:szCs w:val="21"/>
        </w:rPr>
      </w:pPr>
      <w:r>
        <w:rPr>
          <w:rFonts w:hint="eastAsia" w:ascii="黑体" w:hAnsi="黑体" w:eastAsia="黑体" w:cs="Times New Roman"/>
          <w:sz w:val="21"/>
          <w:szCs w:val="21"/>
        </w:rPr>
        <w:t>四、财政拨款</w:t>
      </w:r>
      <w:r>
        <w:rPr>
          <w:rFonts w:ascii="黑体" w:hAnsi="黑体" w:eastAsia="黑体" w:cs="Times New Roman"/>
          <w:sz w:val="21"/>
          <w:szCs w:val="21"/>
        </w:rPr>
        <w:t>“</w:t>
      </w:r>
      <w:r>
        <w:rPr>
          <w:rFonts w:hint="eastAsia" w:ascii="黑体" w:hAnsi="黑体" w:eastAsia="黑体" w:cs="Times New Roman"/>
          <w:sz w:val="21"/>
          <w:szCs w:val="21"/>
        </w:rPr>
        <w:t>三公</w:t>
      </w:r>
      <w:r>
        <w:rPr>
          <w:rFonts w:ascii="黑体" w:hAnsi="黑体" w:eastAsia="黑体" w:cs="Times New Roman"/>
          <w:sz w:val="21"/>
          <w:szCs w:val="21"/>
        </w:rPr>
        <w:t>”</w:t>
      </w:r>
      <w:r>
        <w:rPr>
          <w:rFonts w:hint="eastAsia" w:ascii="黑体" w:hAnsi="黑体" w:eastAsia="黑体" w:cs="Times New Roman"/>
          <w:sz w:val="21"/>
          <w:szCs w:val="21"/>
        </w:rPr>
        <w:t>经费预算情况及增减变化原因</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我部门无财政拨款“三公”经费预算。</w:t>
      </w:r>
    </w:p>
    <w:p>
      <w:pPr>
        <w:autoSpaceDE w:val="0"/>
        <w:autoSpaceDN w:val="0"/>
        <w:adjustRightInd w:val="0"/>
        <w:ind w:left="198" w:firstLine="420" w:firstLineChars="200"/>
        <w:jc w:val="left"/>
        <w:rPr>
          <w:rFonts w:ascii="黑体" w:hAnsi="黑体" w:eastAsia="黑体" w:cs="Times New Roman"/>
          <w:sz w:val="21"/>
          <w:szCs w:val="21"/>
        </w:rPr>
      </w:pPr>
      <w:r>
        <w:rPr>
          <w:rFonts w:hint="eastAsia" w:ascii="黑体" w:hAnsi="黑体" w:eastAsia="黑体" w:cs="Times New Roman"/>
          <w:sz w:val="21"/>
          <w:szCs w:val="21"/>
        </w:rPr>
        <w:t>五、预算绩效信息</w:t>
      </w:r>
    </w:p>
    <w:p>
      <w:pPr>
        <w:ind w:firstLine="420" w:firstLineChars="200"/>
        <w:jc w:val="left"/>
        <w:rPr>
          <w:rFonts w:ascii="Times New Roman" w:hAnsi="Times New Roman" w:eastAsia="仿宋" w:cs="Times New Roman"/>
          <w:sz w:val="21"/>
          <w:szCs w:val="21"/>
        </w:rPr>
      </w:pPr>
      <w:bookmarkStart w:id="0" w:name="_Toc471398463"/>
      <w:r>
        <w:rPr>
          <w:rFonts w:hint="eastAsia" w:ascii="Times New Roman" w:hAnsi="Times New Roman" w:eastAsia="方正仿宋_GBK" w:cs="Times New Roman"/>
          <w:b/>
          <w:sz w:val="21"/>
          <w:szCs w:val="21"/>
        </w:rPr>
        <w:t>第一部分  部门整体绩效目标</w:t>
      </w:r>
    </w:p>
    <w:p>
      <w:pPr>
        <w:autoSpaceDE w:val="0"/>
        <w:autoSpaceDN w:val="0"/>
        <w:adjustRightInd w:val="0"/>
        <w:ind w:left="198" w:firstLine="420"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（一）总体绩效目标</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1" w:name="_Toc29484628"/>
      <w:r>
        <w:rPr>
          <w:rFonts w:hint="eastAsia" w:ascii="Times New Roman" w:hAnsi="Times New Roman" w:eastAsia="方正仿宋_GBK" w:cs="Times New Roman"/>
          <w:b/>
          <w:sz w:val="21"/>
          <w:szCs w:val="21"/>
        </w:rPr>
        <w:instrText xml:space="preserve">总体绩效目标</w:instrText>
      </w:r>
      <w:bookmarkEnd w:id="1"/>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为了更好的贯彻落实网络安全和信息化发展战略、宏观规划和重大政策，统筹推进网络安全和信息化法治、标准建设，按照上级网信部门要求，建设视频会议室1间并配备相应的配套设备。为了更好的落实网络舆情24小时实时监测、收集、分析和报送工作，对互联网信息内容进行管理，2020年继续使用原有的监测软件，保障互联网信息的意识形态安全。利用座谈、培训等方式及“2020年网络安全周”活动，开展网络安全教育，发放宣传资料、明白纸宣传网络安全知识，提升群众网络安全意识。此外，针对群众反映强烈的突出问题，精心组织开展“鹿泉净网.晴朗2020”专项行动，联合公安、市场监督、文化执法等部门充分发挥网信部门的执法作用，综合施策、一体推进，确保网络综合治理各项任务落到实处。</w:t>
      </w:r>
    </w:p>
    <w:p>
      <w:pPr>
        <w:autoSpaceDE w:val="0"/>
        <w:autoSpaceDN w:val="0"/>
        <w:adjustRightInd w:val="0"/>
        <w:ind w:left="198" w:firstLine="420"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（二）分项绩效目标</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2" w:name="_Toc29484629"/>
      <w:r>
        <w:rPr>
          <w:rFonts w:hint="eastAsia" w:ascii="Times New Roman" w:hAnsi="Times New Roman" w:eastAsia="方正仿宋_GBK" w:cs="Times New Roman"/>
          <w:b/>
          <w:sz w:val="21"/>
          <w:szCs w:val="21"/>
        </w:rPr>
        <w:instrText xml:space="preserve">分项绩效目标</w:instrText>
      </w:r>
      <w:bookmarkEnd w:id="2"/>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1、</w:t>
      </w:r>
      <w:r>
        <w:rPr>
          <w:rFonts w:ascii="Times New Roman" w:hAnsi="Times New Roman" w:eastAsia="仿宋" w:cs="Times New Roman"/>
          <w:sz w:val="21"/>
          <w:szCs w:val="21"/>
        </w:rPr>
        <w:t>加强宣传，完善配套设施</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 xml:space="preserve">绩效目标：完善机构配套设施，并通过开展培训及网络安全周等活动，增强群众网络安全意识，普及网络安全知识。     </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按照上级部门要求，配备视频会议室一间，并完善机构内部配套设施。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聚焦网络舆论环境，筑牢安全线</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绩效目标：互联网信息内容管理及信息内容监督管理执法，组织开展互联网生态治理，会同有关部门处置和封堵网上有害信息，筑牢网络意识形态安全线。</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绩效指标：利用人工和软件相结合的方式，进行24小时不间断的舆情监测，负责对舆情进行搜集、分析、研判，并会同有关部门对有害信息进行及时处置，维护晴朗的网络环境。</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妥善安置退役军人公益岗</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绩效目标：严格落实上级政策，对单位内部的退役军人公益岗进行妥善安置。</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绩效指标:及时发放本单位3名退役军人公益岗的工资待遇及相关补贴，保障其合法权益。</w:t>
      </w:r>
    </w:p>
    <w:p>
      <w:pPr>
        <w:autoSpaceDE w:val="0"/>
        <w:autoSpaceDN w:val="0"/>
        <w:adjustRightInd w:val="0"/>
        <w:ind w:left="198" w:firstLine="420"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（三）工作保障措施</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3" w:name="_Toc29484630"/>
      <w:r>
        <w:rPr>
          <w:rFonts w:hint="eastAsia" w:ascii="Times New Roman" w:hAnsi="Times New Roman" w:eastAsia="方正仿宋_GBK" w:cs="Times New Roman"/>
          <w:b/>
          <w:sz w:val="21"/>
          <w:szCs w:val="21"/>
        </w:rPr>
        <w:instrText xml:space="preserve">工作保障措施</w:instrText>
      </w:r>
      <w:bookmarkEnd w:id="3"/>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1、</w:t>
      </w:r>
      <w:r>
        <w:rPr>
          <w:rFonts w:ascii="Times New Roman" w:hAnsi="Times New Roman" w:eastAsia="仿宋" w:cs="Times New Roman"/>
          <w:sz w:val="21"/>
          <w:szCs w:val="21"/>
        </w:rPr>
        <w:t>落实主体责任，加强支出管理。持续深入贯彻中央及省市关于网信工作的重要指示精神，始终坚持以人民为中心的发展思想，全面落实主体责任，切实担负起守护网络意识形态安全的职责使命。制定本部门的预算绩效管理制度和资金管理办法，为全年预算绩效目标的实现奠定制度基础。在开展各项工作的同时优化支出结构、及时支付资金，确保支出进度达标。</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加强绩效运行监控，做好绩效自评。将2020年工作谋划列入全年工作要点，拉出目标清单，细化责任分工，明确时间节点，按财政部门要求开展绩效运行监控，全力抓重点难点，确保全年重点工作落到实处。开展上年度部门预算绩效自评工作，发现问题及时采取措施，确保绩效目标如期保质实现。</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规范财务管理，加强内部监督。严格落实财务管理制度，严格审批程序，做到支出合理，物尽其用。加强内部监督管理，对绩效运行情况及时进行督导，确保财政资金安全有效。</w:t>
      </w:r>
    </w:p>
    <w:p>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4、</w:t>
      </w:r>
      <w:r>
        <w:rPr>
          <w:rFonts w:ascii="Times New Roman" w:hAnsi="Times New Roman" w:eastAsia="仿宋" w:cs="Times New Roman"/>
          <w:sz w:val="21"/>
          <w:szCs w:val="21"/>
        </w:rPr>
        <w:t>加强宣传培训，提高业务素质。加强财务人员的培训，提高业务素质，优化财政资金配置；加大宣传力度，强化预算绩效管理意识，促进绩效管理水平进一步提升。</w:t>
      </w: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2" w:firstLineChars="200"/>
        <w:jc w:val="left"/>
        <w:rPr>
          <w:rFonts w:ascii="Times New Roman" w:hAnsi="Times New Roman" w:cs="Times New Roman" w:eastAsiaTheme="minorEastAsia"/>
          <w:b/>
          <w:sz w:val="21"/>
          <w:szCs w:val="21"/>
        </w:rPr>
      </w:pPr>
    </w:p>
    <w:p>
      <w:pPr>
        <w:autoSpaceDE w:val="0"/>
        <w:autoSpaceDN w:val="0"/>
        <w:adjustRightInd w:val="0"/>
        <w:ind w:left="198" w:firstLine="420" w:firstLineChars="200"/>
        <w:jc w:val="center"/>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第二部分  预算项目绩效目标</w:t>
      </w:r>
    </w:p>
    <w:p>
      <w:pPr>
        <w:ind w:firstLine="420" w:firstLineChars="200"/>
        <w:jc w:val="left"/>
        <w:outlineLvl w:val="1"/>
        <w:rPr>
          <w:rFonts w:ascii="Times New Roman" w:hAnsi="宋体"/>
          <w:b/>
          <w:sz w:val="21"/>
          <w:szCs w:val="21"/>
        </w:rPr>
      </w:pPr>
      <w:r>
        <w:rPr>
          <w:rFonts w:hint="eastAsia" w:ascii="方正仿宋_GBK" w:eastAsia="方正仿宋_GBK"/>
          <w:b/>
          <w:sz w:val="21"/>
          <w:szCs w:val="21"/>
        </w:rPr>
        <w:t xml:space="preserve">  1、涉军公益岗工资绩效目标表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4" w:name="_Toc32831754"/>
      <w:r>
        <w:rPr>
          <w:rFonts w:hint="eastAsia" w:ascii="方正仿宋_GBK" w:eastAsia="方正仿宋_GBK"/>
          <w:b/>
          <w:sz w:val="21"/>
          <w:szCs w:val="21"/>
        </w:rPr>
        <w:instrText xml:space="preserve">1、涉军公益岗工资绩效目标表</w:instrText>
      </w:r>
      <w:bookmarkEnd w:id="4"/>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项目编码</w:t>
            </w:r>
          </w:p>
        </w:tc>
        <w:tc>
          <w:tcPr>
            <w:tcW w:w="2410" w:type="dxa"/>
            <w:gridSpan w:val="2"/>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000-9999-JSN-2X0H</w:t>
            </w:r>
          </w:p>
        </w:tc>
        <w:tc>
          <w:tcPr>
            <w:tcW w:w="1587"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专项资金名称</w:t>
            </w:r>
          </w:p>
        </w:tc>
        <w:tc>
          <w:tcPr>
            <w:tcW w:w="4281" w:type="dxa"/>
            <w:gridSpan w:val="3"/>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涉军公益岗工资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预算规模及资金用途</w:t>
            </w:r>
          </w:p>
        </w:tc>
        <w:tc>
          <w:tcPr>
            <w:tcW w:w="1134"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预算数</w:t>
            </w:r>
          </w:p>
        </w:tc>
        <w:tc>
          <w:tcPr>
            <w:tcW w:w="1276"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7.41</w:t>
            </w:r>
          </w:p>
        </w:tc>
        <w:tc>
          <w:tcPr>
            <w:tcW w:w="1587"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其中：财政资金</w:t>
            </w:r>
          </w:p>
        </w:tc>
        <w:tc>
          <w:tcPr>
            <w:tcW w:w="1304"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7.41</w:t>
            </w:r>
          </w:p>
        </w:tc>
        <w:tc>
          <w:tcPr>
            <w:tcW w:w="1276"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其他资金</w:t>
            </w:r>
          </w:p>
        </w:tc>
        <w:tc>
          <w:tcPr>
            <w:tcW w:w="1701"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p>
        </w:tc>
        <w:tc>
          <w:tcPr>
            <w:tcW w:w="8278" w:type="dxa"/>
            <w:gridSpan w:val="6"/>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涉军公益岗3人，工资合计：3100人/月，管理费合计：720元/年，取暖费合计：1900元/人/年，合计11.81万元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资金支出计划（%）</w:t>
            </w:r>
          </w:p>
        </w:tc>
        <w:tc>
          <w:tcPr>
            <w:tcW w:w="2410" w:type="dxa"/>
            <w:gridSpan w:val="2"/>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3月底</w:t>
            </w:r>
          </w:p>
        </w:tc>
        <w:tc>
          <w:tcPr>
            <w:tcW w:w="1587"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6月底</w:t>
            </w:r>
          </w:p>
        </w:tc>
        <w:tc>
          <w:tcPr>
            <w:tcW w:w="1304" w:type="dxa"/>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10月底</w:t>
            </w:r>
          </w:p>
        </w:tc>
        <w:tc>
          <w:tcPr>
            <w:tcW w:w="2977" w:type="dxa"/>
            <w:gridSpan w:val="2"/>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p>
        </w:tc>
        <w:tc>
          <w:tcPr>
            <w:tcW w:w="2410" w:type="dxa"/>
            <w:gridSpan w:val="2"/>
            <w:tcBorders>
              <w:bottom w:val="single" w:color="000000" w:sz="6" w:space="0"/>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25.00</w:t>
            </w:r>
          </w:p>
        </w:tc>
        <w:tc>
          <w:tcPr>
            <w:tcW w:w="1587" w:type="dxa"/>
            <w:tcBorders>
              <w:bottom w:val="single" w:color="000000" w:sz="6" w:space="0"/>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50.00</w:t>
            </w:r>
          </w:p>
        </w:tc>
        <w:tc>
          <w:tcPr>
            <w:tcW w:w="1304" w:type="dxa"/>
            <w:tcBorders>
              <w:bottom w:val="single" w:color="000000" w:sz="6" w:space="0"/>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75.00</w:t>
            </w:r>
          </w:p>
        </w:tc>
        <w:tc>
          <w:tcPr>
            <w:tcW w:w="2977" w:type="dxa"/>
            <w:gridSpan w:val="2"/>
            <w:tcBorders>
              <w:bottom w:val="single" w:color="000000" w:sz="6" w:space="0"/>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绩效目标</w:t>
            </w:r>
          </w:p>
        </w:tc>
        <w:tc>
          <w:tcPr>
            <w:tcW w:w="8278" w:type="dxa"/>
            <w:gridSpan w:val="6"/>
            <w:tcBorders>
              <w:bottom w:val="nil"/>
            </w:tcBorders>
            <w:shd w:val="clear" w:color="auto" w:fill="auto"/>
            <w:vAlign w:val="center"/>
          </w:tcPr>
          <w:p>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1、为我单位3名涉军公益岗按时足额发放工资,实现公益岗托管安置就业.</w:t>
            </w:r>
          </w:p>
        </w:tc>
      </w:tr>
    </w:tbl>
    <w:p>
      <w:pPr>
        <w:spacing w:line="14" w:lineRule="exact"/>
        <w:ind w:firstLine="420" w:firstLineChars="200"/>
        <w:jc w:val="center"/>
        <w:rPr>
          <w:rFonts w:ascii="Times New Roman" w:hAnsi="宋体"/>
          <w:sz w:val="21"/>
          <w:szCs w:val="21"/>
        </w:rPr>
      </w:pPr>
      <w:r>
        <w:rPr>
          <w:rFonts w:ascii="方正书宋_GBK" w:eastAsia="方正书宋_GBK"/>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27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2891"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127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701"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涉军公益岗取暖费</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实际涉军公益岗取暖费标准</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1900</w:t>
            </w:r>
            <w:r>
              <w:rPr>
                <w:rFonts w:hint="eastAsia" w:ascii="方正书宋_GBK" w:eastAsia="方正书宋_GBK"/>
                <w:sz w:val="21"/>
                <w:szCs w:val="21"/>
              </w:rPr>
              <w:t>元</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数量指标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涉军公益岗人数</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实际涉军公益岗人数</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人</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涉军公益岗工资及时发放率</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及时发放人数占总人数</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涉军公益岗人员工资</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实际涉军公益岗人员工资</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3100</w:t>
            </w:r>
            <w:r>
              <w:rPr>
                <w:rFonts w:hint="eastAsia" w:ascii="方正书宋_GBK" w:eastAsia="方正书宋_GBK"/>
                <w:sz w:val="21"/>
                <w:szCs w:val="21"/>
              </w:rPr>
              <w:t>元</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效果指标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经济效益指标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托管安置人数</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实行公益岗托管安置人数</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人</w:t>
            </w:r>
          </w:p>
        </w:tc>
        <w:tc>
          <w:tcPr>
            <w:tcW w:w="1701" w:type="dxa"/>
            <w:shd w:val="clear" w:color="auto" w:fill="auto"/>
            <w:vAlign w:val="center"/>
          </w:tcPr>
          <w:p>
            <w:pPr>
              <w:spacing w:line="300" w:lineRule="exact"/>
              <w:jc w:val="lef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服务对象满意度指标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涉军公益岗满意度</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涉军人员对工资的满意度</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pPr>
              <w:spacing w:line="300" w:lineRule="exact"/>
              <w:jc w:val="left"/>
              <w:rPr>
                <w:rFonts w:ascii="方正书宋_GBK" w:eastAsia="方正书宋_GBK"/>
                <w:sz w:val="21"/>
                <w:szCs w:val="21"/>
              </w:rPr>
            </w:pPr>
          </w:p>
        </w:tc>
      </w:tr>
    </w:tbl>
    <w:p>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sz w:val="21"/>
          <w:szCs w:val="21"/>
        </w:rPr>
      </w:pPr>
    </w:p>
    <w:p>
      <w:pPr>
        <w:ind w:firstLine="420" w:firstLineChars="200"/>
        <w:jc w:val="left"/>
        <w:outlineLvl w:val="1"/>
        <w:rPr>
          <w:rFonts w:ascii="Times New Roman" w:hAnsi="宋体"/>
          <w:b/>
          <w:sz w:val="21"/>
          <w:szCs w:val="21"/>
        </w:rPr>
      </w:pPr>
      <w:r>
        <w:rPr>
          <w:rFonts w:hint="eastAsia" w:ascii="方正仿宋_GBK" w:eastAsia="方正仿宋_GBK"/>
          <w:b/>
          <w:sz w:val="21"/>
          <w:szCs w:val="21"/>
        </w:rPr>
        <w:t>2、视频会议室建设及网络费绩效目标表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5" w:name="_Toc32831755"/>
      <w:r>
        <w:rPr>
          <w:rFonts w:hint="eastAsia" w:ascii="方正仿宋_GBK" w:eastAsia="方正仿宋_GBK"/>
          <w:b/>
          <w:sz w:val="21"/>
          <w:szCs w:val="21"/>
        </w:rPr>
        <w:instrText xml:space="preserve">2、视频会议室建设及网络费绩效目标表</w:instrText>
      </w:r>
      <w:bookmarkEnd w:id="5"/>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项目编码</w:t>
            </w:r>
          </w:p>
        </w:tc>
        <w:tc>
          <w:tcPr>
            <w:tcW w:w="2410" w:type="dxa"/>
            <w:gridSpan w:val="2"/>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000-9999-JSN-ZDN4</w:t>
            </w:r>
          </w:p>
        </w:tc>
        <w:tc>
          <w:tcPr>
            <w:tcW w:w="1587"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专项资金名称</w:t>
            </w:r>
          </w:p>
        </w:tc>
        <w:tc>
          <w:tcPr>
            <w:tcW w:w="4281" w:type="dxa"/>
            <w:gridSpan w:val="3"/>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视频会议室建设及网络费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预算规模及资金用途</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预算数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587"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其中：财政资金</w:t>
            </w:r>
          </w:p>
        </w:tc>
        <w:tc>
          <w:tcPr>
            <w:tcW w:w="130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其他资金</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rPr>
                <w:rFonts w:hint="eastAsia" w:ascii="仿宋_GB2312" w:hAnsi="仿宋_GB2312" w:eastAsia="仿宋_GB2312" w:cs="仿宋_GB2312"/>
                <w:sz w:val="21"/>
                <w:szCs w:val="21"/>
              </w:rPr>
            </w:pPr>
          </w:p>
        </w:tc>
        <w:tc>
          <w:tcPr>
            <w:tcW w:w="8278" w:type="dxa"/>
            <w:gridSpan w:val="6"/>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会议室设备购置：空调柜机10000元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资金支出计划（%）</w:t>
            </w:r>
          </w:p>
        </w:tc>
        <w:tc>
          <w:tcPr>
            <w:tcW w:w="2410" w:type="dxa"/>
            <w:gridSpan w:val="2"/>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3月底</w:t>
            </w:r>
          </w:p>
        </w:tc>
        <w:tc>
          <w:tcPr>
            <w:tcW w:w="1587"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6月底</w:t>
            </w:r>
          </w:p>
        </w:tc>
        <w:tc>
          <w:tcPr>
            <w:tcW w:w="130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10月底</w:t>
            </w:r>
          </w:p>
        </w:tc>
        <w:tc>
          <w:tcPr>
            <w:tcW w:w="2977" w:type="dxa"/>
            <w:gridSpan w:val="2"/>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w:t>
            </w:r>
          </w:p>
        </w:tc>
        <w:tc>
          <w:tcPr>
            <w:tcW w:w="1587" w:type="dxa"/>
            <w:tcBorders>
              <w:bottom w:val="single" w:color="000000" w:sz="6" w:space="0"/>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20.00</w:t>
            </w:r>
          </w:p>
        </w:tc>
        <w:tc>
          <w:tcPr>
            <w:tcW w:w="1304" w:type="dxa"/>
            <w:tcBorders>
              <w:bottom w:val="single" w:color="000000" w:sz="6" w:space="0"/>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50.00</w:t>
            </w:r>
          </w:p>
        </w:tc>
        <w:tc>
          <w:tcPr>
            <w:tcW w:w="2977" w:type="dxa"/>
            <w:gridSpan w:val="2"/>
            <w:tcBorders>
              <w:bottom w:val="single" w:color="000000" w:sz="6" w:space="0"/>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绩效目标</w:t>
            </w:r>
          </w:p>
        </w:tc>
        <w:tc>
          <w:tcPr>
            <w:tcW w:w="8278" w:type="dxa"/>
            <w:gridSpan w:val="6"/>
            <w:tcBorders>
              <w:bottom w:val="nil"/>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1、视频会议室正常使用，维护正常运作</w:t>
            </w:r>
          </w:p>
        </w:tc>
      </w:tr>
    </w:tbl>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一级指标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二级指标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三级指标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绩效指标描述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指标值</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办公设备购置费</w:t>
            </w:r>
          </w:p>
          <w:p>
            <w:pPr>
              <w:spacing w:line="300" w:lineRule="exact"/>
              <w:jc w:val="left"/>
              <w:rPr>
                <w:rFonts w:hint="eastAsia" w:ascii="仿宋_GB2312" w:hAnsi="仿宋_GB2312" w:eastAsia="仿宋_GB2312" w:cs="仿宋_GB2312"/>
                <w:sz w:val="21"/>
                <w:szCs w:val="21"/>
              </w:rPr>
            </w:pP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空调柜机数量</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1台</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视频会议室使用达标率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达标次数占使用次数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长期使用性</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能够长期较好地满足视频会议的需求。</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满足</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bl>
    <w:p>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sz w:val="21"/>
          <w:szCs w:val="21"/>
        </w:rPr>
      </w:pPr>
    </w:p>
    <w:p>
      <w:pPr>
        <w:ind w:firstLine="420" w:firstLineChars="200"/>
        <w:jc w:val="left"/>
        <w:outlineLvl w:val="1"/>
        <w:rPr>
          <w:rFonts w:ascii="Times New Roman" w:hAnsi="宋体"/>
          <w:b/>
          <w:sz w:val="21"/>
          <w:szCs w:val="21"/>
        </w:rPr>
      </w:pPr>
      <w:r>
        <w:rPr>
          <w:rFonts w:hint="eastAsia" w:ascii="方正仿宋_GBK" w:eastAsia="方正仿宋_GBK"/>
          <w:b/>
          <w:sz w:val="21"/>
          <w:szCs w:val="21"/>
        </w:rPr>
        <w:t>3、网络宣传、网络安全等经费绩效目标表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6" w:name="_Toc32831756"/>
      <w:r>
        <w:rPr>
          <w:rFonts w:hint="eastAsia" w:ascii="方正仿宋_GBK" w:eastAsia="方正仿宋_GBK"/>
          <w:b/>
          <w:sz w:val="21"/>
          <w:szCs w:val="21"/>
        </w:rPr>
        <w:instrText xml:space="preserve">3、网络宣传、网络安全等经费绩效目标表</w:instrText>
      </w:r>
      <w:bookmarkEnd w:id="6"/>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项目编码</w:t>
            </w:r>
          </w:p>
        </w:tc>
        <w:tc>
          <w:tcPr>
            <w:tcW w:w="2410" w:type="dxa"/>
            <w:gridSpan w:val="2"/>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000-9999-JSN-J0HR</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专项资金名称</w:t>
            </w:r>
          </w:p>
        </w:tc>
        <w:tc>
          <w:tcPr>
            <w:tcW w:w="4281" w:type="dxa"/>
            <w:gridSpan w:val="3"/>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网络宣传、网络安全等经费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预算规模及资金用途</w:t>
            </w:r>
          </w:p>
        </w:tc>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其中：财政资金</w:t>
            </w:r>
          </w:p>
        </w:tc>
        <w:tc>
          <w:tcPr>
            <w:tcW w:w="130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其他资金</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hint="eastAsia" w:ascii="仿宋_GB2312" w:hAnsi="仿宋_GB2312" w:eastAsia="仿宋_GB2312" w:cs="仿宋_GB2312"/>
                <w:sz w:val="21"/>
                <w:szCs w:val="21"/>
              </w:rPr>
            </w:pPr>
          </w:p>
        </w:tc>
        <w:tc>
          <w:tcPr>
            <w:tcW w:w="8278" w:type="dxa"/>
            <w:gridSpan w:val="6"/>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网络宣传、网络舆情应对和网络志愿服务者培训工作需要300000元。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资金支出计划（%）</w:t>
            </w:r>
          </w:p>
        </w:tc>
        <w:tc>
          <w:tcPr>
            <w:tcW w:w="2410" w:type="dxa"/>
            <w:gridSpan w:val="2"/>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3月底</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6月底</w:t>
            </w:r>
          </w:p>
        </w:tc>
        <w:tc>
          <w:tcPr>
            <w:tcW w:w="130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10月底</w:t>
            </w:r>
          </w:p>
        </w:tc>
        <w:tc>
          <w:tcPr>
            <w:tcW w:w="2977" w:type="dxa"/>
            <w:gridSpan w:val="2"/>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587" w:type="dxa"/>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50.00</w:t>
            </w:r>
          </w:p>
        </w:tc>
        <w:tc>
          <w:tcPr>
            <w:tcW w:w="1304" w:type="dxa"/>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80.00</w:t>
            </w:r>
          </w:p>
        </w:tc>
        <w:tc>
          <w:tcPr>
            <w:tcW w:w="2977" w:type="dxa"/>
            <w:gridSpan w:val="2"/>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绩效目标</w:t>
            </w:r>
          </w:p>
        </w:tc>
        <w:tc>
          <w:tcPr>
            <w:tcW w:w="8278" w:type="dxa"/>
            <w:gridSpan w:val="6"/>
            <w:tcBorders>
              <w:bottom w:val="nil"/>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1、建立干净网络环境，无网上舆情发生</w:t>
            </w:r>
          </w:p>
        </w:tc>
      </w:tr>
    </w:tbl>
    <w:p>
      <w:pPr>
        <w:spacing w:line="14" w:lineRule="exact"/>
        <w:ind w:firstLine="420" w:firstLineChars="20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一级指标</w:t>
            </w:r>
          </w:p>
        </w:tc>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二级指标</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三级指标</w:t>
            </w:r>
          </w:p>
        </w:tc>
        <w:tc>
          <w:tcPr>
            <w:tcW w:w="2891"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绩效指标描述</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w:t>
            </w:r>
          </w:p>
        </w:tc>
        <w:tc>
          <w:tcPr>
            <w:tcW w:w="1701"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网络宣传次数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全年网络宣传的次数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网络宣传人数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每次网络宣传的参与人数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≥50人</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网络安全培训次数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全年网络安全培训次数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网络安全培训人数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每次网络安全培训的参加人数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≥30人/次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网络宣传视频制作数量</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网络宣传视频制作数量</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6次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网络宣传资料数量</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网络宣传资料单次发放数量</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≥1000份</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风险评估、应急演练数量</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风险评估、应急演练全年数量</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网络安全服务次数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网络安全服务次数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聘请专家培训次数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聘请专家开展网络安全培训的次数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培训达标率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培训达标人数占总人数的比</w:t>
            </w:r>
            <w:r>
              <w:rPr>
                <w:rFonts w:hint="eastAsia" w:ascii="仿宋_GB2312" w:hAnsi="仿宋_GB2312" w:eastAsia="仿宋_GB2312" w:cs="仿宋_GB2312"/>
                <w:sz w:val="21"/>
                <w:szCs w:val="21"/>
                <w:lang w:eastAsia="zh-CN"/>
              </w:rPr>
              <w:t>例</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≥99%</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社会效益指标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已支持的新媒体、全媒体项目的传播力、引导力、公信力增强效果</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反映清净网络环境和宣传网络正能量方面的报道情况</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&gt;1次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满意度指标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服务对象满意度指标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网络安全群众满意率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人们对网络环境安全的满意度</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调查</w:t>
            </w:r>
          </w:p>
        </w:tc>
      </w:tr>
    </w:tbl>
    <w:p>
      <w:pPr>
        <w:spacing w:line="300" w:lineRule="exact"/>
        <w:ind w:firstLine="420" w:firstLineChars="200"/>
        <w:jc w:val="left"/>
        <w:rPr>
          <w:rFonts w:hint="eastAsia" w:ascii="仿宋_GB2312" w:hAnsi="仿宋_GB2312" w:eastAsia="仿宋_GB2312" w:cs="仿宋_GB2312"/>
          <w:sz w:val="21"/>
          <w:szCs w:val="21"/>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hint="eastAsia" w:ascii="仿宋_GB2312" w:hAnsi="仿宋_GB2312" w:eastAsia="仿宋_GB2312" w:cs="仿宋_GB2312"/>
          <w:sz w:val="21"/>
          <w:szCs w:val="21"/>
        </w:rPr>
      </w:pPr>
    </w:p>
    <w:p>
      <w:pPr>
        <w:ind w:firstLine="422" w:firstLineChars="200"/>
        <w:jc w:val="left"/>
        <w:outlineLvl w:val="1"/>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4、网信行政执法设备配备绩效目标表</w:t>
      </w:r>
      <w:r>
        <w:rPr>
          <w:rFonts w:hint="eastAsia" w:ascii="仿宋_GB2312" w:hAnsi="仿宋_GB2312" w:eastAsia="仿宋_GB2312" w:cs="仿宋_GB2312"/>
          <w:b/>
          <w:sz w:val="21"/>
          <w:szCs w:val="21"/>
        </w:rPr>
        <w:fldChar w:fldCharType="begin"/>
      </w:r>
      <w:r>
        <w:rPr>
          <w:rFonts w:hint="eastAsia" w:ascii="仿宋_GB2312" w:hAnsi="仿宋_GB2312" w:eastAsia="仿宋_GB2312" w:cs="仿宋_GB2312"/>
          <w:b/>
          <w:sz w:val="21"/>
          <w:szCs w:val="21"/>
        </w:rPr>
        <w:instrText xml:space="preserve"> TC </w:instrText>
      </w:r>
      <w:bookmarkStart w:id="7" w:name="_Toc32831757"/>
      <w:r>
        <w:rPr>
          <w:rFonts w:hint="eastAsia" w:ascii="仿宋_GB2312" w:hAnsi="仿宋_GB2312" w:eastAsia="仿宋_GB2312" w:cs="仿宋_GB2312"/>
          <w:b/>
          <w:sz w:val="21"/>
          <w:szCs w:val="21"/>
        </w:rPr>
        <w:instrText xml:space="preserve">4、网信行政执法设备配备绩效目标表</w:instrText>
      </w:r>
      <w:bookmarkEnd w:id="7"/>
      <w:r>
        <w:rPr>
          <w:rFonts w:hint="eastAsia" w:ascii="仿宋_GB2312" w:hAnsi="仿宋_GB2312" w:eastAsia="仿宋_GB2312" w:cs="仿宋_GB2312"/>
          <w:b/>
          <w:sz w:val="21"/>
          <w:szCs w:val="21"/>
        </w:rPr>
        <w:instrText xml:space="preserve"> \f B \l 1 </w:instrText>
      </w:r>
      <w:r>
        <w:rPr>
          <w:rFonts w:hint="eastAsia" w:ascii="仿宋_GB2312" w:hAnsi="仿宋_GB2312" w:eastAsia="仿宋_GB2312" w:cs="仿宋_GB2312"/>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仿宋_GB2312" w:hAnsi="仿宋_GB2312" w:eastAsia="仿宋_GB2312" w:cs="仿宋_GB2312"/>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项目编码</w:t>
            </w:r>
          </w:p>
        </w:tc>
        <w:tc>
          <w:tcPr>
            <w:tcW w:w="2410" w:type="dxa"/>
            <w:gridSpan w:val="2"/>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000-9999-JSN-XPFN</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专项资金名称</w:t>
            </w:r>
          </w:p>
        </w:tc>
        <w:tc>
          <w:tcPr>
            <w:tcW w:w="4281" w:type="dxa"/>
            <w:gridSpan w:val="3"/>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网信行政执法设备配备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预算规模及资金用途</w:t>
            </w:r>
          </w:p>
        </w:tc>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9.00</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其中：财政资金</w:t>
            </w:r>
          </w:p>
        </w:tc>
        <w:tc>
          <w:tcPr>
            <w:tcW w:w="130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9.00</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其他资金</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hint="eastAsia" w:ascii="仿宋_GB2312" w:hAnsi="仿宋_GB2312" w:eastAsia="仿宋_GB2312" w:cs="仿宋_GB2312"/>
                <w:sz w:val="21"/>
                <w:szCs w:val="21"/>
              </w:rPr>
            </w:pPr>
          </w:p>
        </w:tc>
        <w:tc>
          <w:tcPr>
            <w:tcW w:w="8278" w:type="dxa"/>
            <w:gridSpan w:val="6"/>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河北省委网信办要求配备网信行政执法设备，需要配备：手持执法终端：10000元/台，执法记录仪、录音笔及后期增加办公设备等共计90000元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资金支出计划（%）</w:t>
            </w:r>
          </w:p>
        </w:tc>
        <w:tc>
          <w:tcPr>
            <w:tcW w:w="2410" w:type="dxa"/>
            <w:gridSpan w:val="2"/>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3月底</w:t>
            </w:r>
          </w:p>
        </w:tc>
        <w:tc>
          <w:tcPr>
            <w:tcW w:w="1587"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6月底</w:t>
            </w:r>
          </w:p>
        </w:tc>
        <w:tc>
          <w:tcPr>
            <w:tcW w:w="130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10月底</w:t>
            </w:r>
          </w:p>
        </w:tc>
        <w:tc>
          <w:tcPr>
            <w:tcW w:w="2977" w:type="dxa"/>
            <w:gridSpan w:val="2"/>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w:t>
            </w:r>
          </w:p>
        </w:tc>
        <w:tc>
          <w:tcPr>
            <w:tcW w:w="1587" w:type="dxa"/>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20.00</w:t>
            </w:r>
          </w:p>
        </w:tc>
        <w:tc>
          <w:tcPr>
            <w:tcW w:w="1304" w:type="dxa"/>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75.00</w:t>
            </w:r>
          </w:p>
        </w:tc>
        <w:tc>
          <w:tcPr>
            <w:tcW w:w="2977" w:type="dxa"/>
            <w:gridSpan w:val="2"/>
            <w:tcBorders>
              <w:bottom w:val="single" w:color="000000" w:sz="6" w:space="0"/>
            </w:tcBorders>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绩效目标</w:t>
            </w:r>
          </w:p>
        </w:tc>
        <w:tc>
          <w:tcPr>
            <w:tcW w:w="8278" w:type="dxa"/>
            <w:gridSpan w:val="6"/>
            <w:tcBorders>
              <w:bottom w:val="nil"/>
            </w:tcBorders>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1、执法设备配备齐全,执法结果有记录,提高执法质量.</w:t>
            </w:r>
          </w:p>
        </w:tc>
      </w:tr>
    </w:tbl>
    <w:p>
      <w:pPr>
        <w:spacing w:line="14" w:lineRule="exact"/>
        <w:ind w:firstLine="420" w:firstLineChars="20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一级指标</w:t>
            </w:r>
          </w:p>
        </w:tc>
        <w:tc>
          <w:tcPr>
            <w:tcW w:w="1134"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二级指标</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三级指标</w:t>
            </w:r>
          </w:p>
        </w:tc>
        <w:tc>
          <w:tcPr>
            <w:tcW w:w="2891"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绩效指标描述</w:t>
            </w:r>
          </w:p>
        </w:tc>
        <w:tc>
          <w:tcPr>
            <w:tcW w:w="1276"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w:t>
            </w:r>
          </w:p>
        </w:tc>
        <w:tc>
          <w:tcPr>
            <w:tcW w:w="1701" w:type="dxa"/>
            <w:shd w:val="clear" w:color="auto" w:fill="auto"/>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手持执法终端</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&gt;1个</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执法记录仪、录音笔</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&gt;9个</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成本指标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购买网络行政执法设备金额</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购买录音笔、执法记录仪人均金额</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2300元</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成本指标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购买网络行政执法设备金额</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购买手持执法终端人均金额</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1000元</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经济效益指标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执法使用次数</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执法每季度使用次数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执法有效率</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执法使用有效次数占执法总次数</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满意度指标</w:t>
            </w:r>
          </w:p>
        </w:tc>
        <w:tc>
          <w:tcPr>
            <w:tcW w:w="1134"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服务对象满意度指标</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使用行政执法设备人员的满意度</w:t>
            </w:r>
          </w:p>
        </w:tc>
        <w:tc>
          <w:tcPr>
            <w:tcW w:w="2891"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使用设备人员的满意度</w:t>
            </w:r>
          </w:p>
        </w:tc>
        <w:tc>
          <w:tcPr>
            <w:tcW w:w="1276" w:type="dxa"/>
            <w:shd w:val="clear" w:color="auto" w:fill="auto"/>
            <w:vAlign w:val="center"/>
          </w:tcPr>
          <w:p>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99%</w:t>
            </w:r>
          </w:p>
        </w:tc>
        <w:tc>
          <w:tcPr>
            <w:tcW w:w="1701" w:type="dxa"/>
            <w:shd w:val="clear" w:color="auto" w:fill="auto"/>
            <w:vAlign w:val="center"/>
          </w:tcPr>
          <w:p>
            <w:pPr>
              <w:spacing w:line="300" w:lineRule="exact"/>
              <w:jc w:val="left"/>
              <w:rPr>
                <w:rFonts w:hint="eastAsia" w:ascii="仿宋_GB2312" w:hAnsi="仿宋_GB2312" w:eastAsia="仿宋_GB2312" w:cs="仿宋_GB2312"/>
                <w:sz w:val="21"/>
                <w:szCs w:val="21"/>
              </w:rPr>
            </w:pPr>
          </w:p>
        </w:tc>
      </w:tr>
    </w:tbl>
    <w:p>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sz w:val="21"/>
          <w:szCs w:val="21"/>
        </w:rPr>
      </w:pPr>
    </w:p>
    <w:p>
      <w:pPr>
        <w:ind w:firstLine="420" w:firstLineChars="200"/>
        <w:jc w:val="left"/>
        <w:outlineLvl w:val="1"/>
        <w:rPr>
          <w:rFonts w:ascii="Times New Roman" w:hAnsi="宋体"/>
          <w:b/>
          <w:sz w:val="21"/>
          <w:szCs w:val="21"/>
        </w:rPr>
      </w:pPr>
      <w:r>
        <w:rPr>
          <w:rFonts w:hint="eastAsia" w:ascii="方正仿宋_GBK" w:eastAsia="方正仿宋_GBK"/>
          <w:b/>
          <w:sz w:val="21"/>
          <w:szCs w:val="21"/>
        </w:rPr>
        <w:t>5、舆情中心运行费绩效目标表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8" w:name="_Toc32831758"/>
      <w:r>
        <w:rPr>
          <w:rFonts w:hint="eastAsia" w:ascii="方正仿宋_GBK" w:eastAsia="方正仿宋_GBK"/>
          <w:b/>
          <w:sz w:val="21"/>
          <w:szCs w:val="21"/>
        </w:rPr>
        <w:instrText xml:space="preserve">5、舆情中心运行费绩效目标表</w:instrText>
      </w:r>
      <w:bookmarkEnd w:id="8"/>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2410" w:type="dxa"/>
            <w:gridSpan w:val="2"/>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000-9999-JSN-2FN2</w:t>
            </w:r>
          </w:p>
        </w:tc>
        <w:tc>
          <w:tcPr>
            <w:tcW w:w="1587"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专项资金名称</w:t>
            </w:r>
          </w:p>
        </w:tc>
        <w:tc>
          <w:tcPr>
            <w:tcW w:w="4281" w:type="dxa"/>
            <w:gridSpan w:val="3"/>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舆情中心运行费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7.00</w:t>
            </w:r>
          </w:p>
        </w:tc>
        <w:tc>
          <w:tcPr>
            <w:tcW w:w="1587"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1304"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7.00</w:t>
            </w:r>
          </w:p>
        </w:tc>
        <w:tc>
          <w:tcPr>
            <w:tcW w:w="127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701" w:type="dxa"/>
            <w:shd w:val="clear" w:color="auto" w:fill="auto"/>
            <w:vAlign w:val="center"/>
          </w:tcPr>
          <w:p>
            <w:pPr>
              <w:spacing w:line="300" w:lineRule="exact"/>
              <w:jc w:val="lef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sz w:val="21"/>
                <w:szCs w:val="21"/>
              </w:rPr>
            </w:pPr>
          </w:p>
        </w:tc>
        <w:tc>
          <w:tcPr>
            <w:tcW w:w="8278" w:type="dxa"/>
            <w:gridSpan w:val="6"/>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网络舆情监控系统使用费及后期新增项目和系统使用费共计</w:t>
            </w:r>
            <w:r>
              <w:rPr>
                <w:rFonts w:ascii="方正书宋_GBK" w:eastAsia="方正书宋_GBK"/>
                <w:sz w:val="21"/>
                <w:szCs w:val="21"/>
              </w:rPr>
              <w:t>70000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2410" w:type="dxa"/>
            <w:gridSpan w:val="2"/>
            <w:shd w:val="clear" w:color="auto" w:fill="auto"/>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1587" w:type="dxa"/>
            <w:shd w:val="clear" w:color="auto" w:fill="auto"/>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1304" w:type="dxa"/>
            <w:shd w:val="clear" w:color="auto" w:fill="auto"/>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2977" w:type="dxa"/>
            <w:gridSpan w:val="2"/>
            <w:shd w:val="clear" w:color="auto" w:fill="auto"/>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sz w:val="21"/>
                <w:szCs w:val="21"/>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sz w:val="21"/>
                <w:szCs w:val="21"/>
              </w:rPr>
            </w:pPr>
            <w:r>
              <w:rPr>
                <w:rFonts w:ascii="方正书宋_GBK" w:eastAsia="方正书宋_GBK"/>
                <w:sz w:val="21"/>
                <w:szCs w:val="21"/>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、网络环境安全、无舆情</w:t>
            </w:r>
          </w:p>
        </w:tc>
      </w:tr>
    </w:tbl>
    <w:p>
      <w:pPr>
        <w:spacing w:line="14" w:lineRule="exact"/>
        <w:ind w:firstLine="420" w:firstLineChars="200"/>
        <w:jc w:val="center"/>
        <w:rPr>
          <w:rFonts w:ascii="Times New Roman" w:hAnsi="宋体"/>
          <w:sz w:val="21"/>
          <w:szCs w:val="21"/>
        </w:rPr>
      </w:pPr>
      <w:r>
        <w:rPr>
          <w:rFonts w:ascii="方正书宋_GBK" w:eastAsia="方正书宋_GBK"/>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27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2891"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127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701"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舆情监测率</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实际监测到舆情占应该监测到舆情</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系统使用率</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系统有效监测时间占每天</w:t>
            </w:r>
            <w:r>
              <w:rPr>
                <w:rFonts w:ascii="方正书宋_GBK" w:eastAsia="方正书宋_GBK"/>
                <w:sz w:val="21"/>
                <w:szCs w:val="21"/>
              </w:rPr>
              <w:t>24</w:t>
            </w:r>
            <w:r>
              <w:rPr>
                <w:rFonts w:hint="eastAsia" w:ascii="方正书宋_GBK" w:eastAsia="方正书宋_GBK"/>
                <w:sz w:val="21"/>
                <w:szCs w:val="21"/>
              </w:rPr>
              <w:t>小时</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舆情监控系统使用及后期增加系统和项目</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舆情监控系统使用及后期增加系统和项目使用费</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70000</w:t>
            </w:r>
            <w:r>
              <w:rPr>
                <w:rFonts w:hint="eastAsia" w:ascii="方正书宋_GBK" w:eastAsia="方正书宋_GBK"/>
                <w:sz w:val="21"/>
                <w:szCs w:val="21"/>
              </w:rPr>
              <w:t>元</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效果指标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生态效益指标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全天监测舆情信息</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全天监测舆情时间</w:t>
            </w:r>
          </w:p>
        </w:tc>
        <w:tc>
          <w:tcPr>
            <w:tcW w:w="1276"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24</w:t>
            </w:r>
            <w:r>
              <w:rPr>
                <w:rFonts w:hint="eastAsia" w:ascii="方正书宋_GBK" w:eastAsia="方正书宋_GBK"/>
                <w:sz w:val="21"/>
                <w:szCs w:val="21"/>
              </w:rPr>
              <w:t>小时</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sz w:val="21"/>
                <w:szCs w:val="21"/>
              </w:rPr>
            </w:pP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可持续影响指标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打造干净网络环境</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全网舆情出现次数</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w:t>
            </w:r>
            <w:r>
              <w:rPr>
                <w:rFonts w:hint="eastAsia" w:ascii="方正书宋_GBK" w:eastAsia="方正书宋_GBK"/>
                <w:sz w:val="21"/>
                <w:szCs w:val="21"/>
              </w:rPr>
              <w:t>条</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113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服务对象满意度指标</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大众满意度</w:t>
            </w:r>
          </w:p>
        </w:tc>
        <w:tc>
          <w:tcPr>
            <w:tcW w:w="289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对系统监测舆情满意度</w:t>
            </w:r>
          </w:p>
        </w:tc>
        <w:tc>
          <w:tcPr>
            <w:tcW w:w="1276"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170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bl>
    <w:p>
      <w:pPr>
        <w:jc w:val="left"/>
        <w:outlineLvl w:val="1"/>
        <w:rPr>
          <w:sz w:val="21"/>
          <w:szCs w:val="21"/>
        </w:rPr>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630" w:firstLineChars="300"/>
        <w:jc w:val="left"/>
        <w:rPr>
          <w:rFonts w:ascii="黑体" w:hAnsi="黑体" w:eastAsia="黑体" w:cs="Times New Roman"/>
          <w:sz w:val="21"/>
          <w:szCs w:val="21"/>
        </w:rPr>
      </w:pPr>
      <w:r>
        <w:rPr>
          <w:rFonts w:hint="eastAsia" w:ascii="黑体" w:hAnsi="黑体" w:eastAsia="黑体" w:cs="Times New Roman"/>
          <w:sz w:val="21"/>
          <w:szCs w:val="21"/>
        </w:rPr>
        <w:t>六、政府采购预算情况</w:t>
      </w:r>
    </w:p>
    <w:p>
      <w:pPr>
        <w:ind w:firstLine="420" w:firstLineChars="200"/>
        <w:outlineLvl w:val="0"/>
        <w:rPr>
          <w:rFonts w:ascii="Times New Roman" w:hAnsi="Times New Roman" w:eastAsia="仿宋" w:cs="Times New Roman"/>
          <w:sz w:val="21"/>
          <w:szCs w:val="21"/>
        </w:rPr>
      </w:pPr>
      <w:bookmarkStart w:id="9" w:name="_Toc471398468"/>
      <w:r>
        <w:rPr>
          <w:rFonts w:ascii="Times New Roman" w:hAnsi="Times New Roman" w:eastAsia="仿宋" w:cs="Times New Roman"/>
          <w:sz w:val="21"/>
          <w:szCs w:val="21"/>
        </w:rPr>
        <w:t xml:space="preserve"> 20</w:t>
      </w:r>
      <w:r>
        <w:rPr>
          <w:rFonts w:hint="eastAsia" w:ascii="Times New Roman" w:hAnsi="Times New Roman" w:eastAsia="仿宋" w:cs="Times New Roman"/>
          <w:sz w:val="21"/>
          <w:szCs w:val="21"/>
        </w:rPr>
        <w:t>20</w:t>
      </w:r>
      <w:r>
        <w:rPr>
          <w:rFonts w:ascii="Times New Roman" w:hAnsi="Times New Roman" w:eastAsia="仿宋" w:cs="Times New Roman"/>
          <w:sz w:val="21"/>
          <w:szCs w:val="21"/>
        </w:rPr>
        <w:t>年，</w:t>
      </w:r>
      <w:r>
        <w:rPr>
          <w:rFonts w:hint="eastAsia" w:ascii="Times New Roman" w:hAnsi="Times New Roman" w:eastAsia="仿宋" w:cs="Times New Roman"/>
          <w:sz w:val="21"/>
          <w:szCs w:val="21"/>
        </w:rPr>
        <w:t>我部门</w:t>
      </w:r>
      <w:r>
        <w:rPr>
          <w:rFonts w:ascii="Times New Roman" w:hAnsi="Times New Roman" w:eastAsia="仿宋" w:cs="Times New Roman"/>
          <w:sz w:val="21"/>
          <w:szCs w:val="21"/>
        </w:rPr>
        <w:t>安排政府采购预算</w:t>
      </w:r>
      <w:r>
        <w:rPr>
          <w:rFonts w:hint="eastAsia" w:ascii="Times New Roman" w:hAnsi="Times New Roman" w:eastAsia="仿宋" w:cs="Times New Roman"/>
          <w:sz w:val="21"/>
          <w:szCs w:val="21"/>
        </w:rPr>
        <w:t>6.18</w:t>
      </w:r>
      <w:r>
        <w:rPr>
          <w:rFonts w:ascii="Times New Roman" w:hAnsi="Times New Roman" w:eastAsia="仿宋" w:cs="Times New Roman"/>
          <w:sz w:val="21"/>
          <w:szCs w:val="21"/>
        </w:rPr>
        <w:t>万元。具体内容见下表。</w:t>
      </w:r>
      <w:bookmarkEnd w:id="9"/>
    </w:p>
    <w:p>
      <w:pPr>
        <w:ind w:firstLine="420" w:firstLineChars="200"/>
        <w:jc w:val="center"/>
        <w:outlineLvl w:val="0"/>
        <w:rPr>
          <w:rFonts w:ascii="Times New Roman" w:hAnsi="宋体"/>
          <w:sz w:val="21"/>
          <w:szCs w:val="21"/>
        </w:rPr>
      </w:pPr>
      <w:r>
        <w:rPr>
          <w:rFonts w:hint="eastAsia" w:ascii="方正小标宋_GBK" w:eastAsia="方正小标宋_GBK"/>
          <w:sz w:val="21"/>
          <w:szCs w:val="21"/>
        </w:rPr>
        <w:t>部门政府采购预算</w:t>
      </w:r>
      <w:r>
        <w:rPr>
          <w:rFonts w:ascii="方正小标宋_GBK" w:eastAsia="方正小标宋_GBK"/>
          <w:sz w:val="21"/>
          <w:szCs w:val="21"/>
        </w:rPr>
        <w:fldChar w:fldCharType="begin"/>
      </w:r>
      <w:r>
        <w:rPr>
          <w:rFonts w:ascii="方正小标宋_GBK" w:eastAsia="方正小标宋_GBK"/>
          <w:sz w:val="21"/>
          <w:szCs w:val="21"/>
        </w:rPr>
        <w:instrText xml:space="preserve"> </w:instrText>
      </w:r>
      <w:r>
        <w:rPr>
          <w:rFonts w:hint="eastAsia" w:ascii="方正小标宋_GBK" w:eastAsia="方正小标宋_GBK"/>
          <w:sz w:val="21"/>
          <w:szCs w:val="21"/>
        </w:rPr>
        <w:instrText xml:space="preserve">TC </w:instrText>
      </w:r>
      <w:bookmarkStart w:id="10" w:name="_Toc32825545"/>
      <w:r>
        <w:rPr>
          <w:rFonts w:hint="eastAsia" w:ascii="方正小标宋_GBK" w:eastAsia="方正小标宋_GBK"/>
          <w:sz w:val="21"/>
          <w:szCs w:val="21"/>
        </w:rPr>
        <w:instrText xml:space="preserve">部门政府采购预算</w:instrText>
      </w:r>
      <w:bookmarkEnd w:id="10"/>
      <w:r>
        <w:rPr>
          <w:rFonts w:hint="eastAsia" w:ascii="方正小标宋_GBK" w:eastAsia="方正小标宋_GBK"/>
          <w:sz w:val="21"/>
          <w:szCs w:val="21"/>
        </w:rPr>
        <w:instrText xml:space="preserve"> \f A \l 1</w:instrText>
      </w:r>
      <w:r>
        <w:rPr>
          <w:rFonts w:ascii="方正小标宋_GBK" w:eastAsia="方正小标宋_GBK"/>
          <w:sz w:val="21"/>
          <w:szCs w:val="21"/>
        </w:rPr>
        <w:instrText xml:space="preserve"> </w:instrText>
      </w:r>
      <w:r>
        <w:rPr>
          <w:rFonts w:ascii="方正小标宋_GBK" w:eastAsia="方正小标宋_GBK"/>
          <w:sz w:val="21"/>
          <w:szCs w:val="21"/>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1"/>
                <w:szCs w:val="21"/>
              </w:rPr>
            </w:pPr>
            <w:r>
              <w:rPr>
                <w:rFonts w:ascii="方正小标宋_GBK" w:eastAsia="方正小标宋_GBK"/>
                <w:sz w:val="21"/>
                <w:szCs w:val="21"/>
              </w:rPr>
              <w:t>224</w:t>
            </w:r>
            <w:r>
              <w:rPr>
                <w:rFonts w:hint="eastAsia" w:ascii="方正小标宋_GBK" w:eastAsia="方正小标宋_GBK"/>
                <w:sz w:val="21"/>
                <w:szCs w:val="21"/>
              </w:rPr>
              <w:t>中共石家庄市鹿泉区委网络安全和信息化委员会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政府采购项目来源</w:t>
            </w:r>
          </w:p>
        </w:tc>
        <w:tc>
          <w:tcPr>
            <w:tcW w:w="1531"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采购物品名称</w:t>
            </w:r>
          </w:p>
        </w:tc>
        <w:tc>
          <w:tcPr>
            <w:tcW w:w="1531"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政府采购目录序号</w:t>
            </w:r>
          </w:p>
        </w:tc>
        <w:tc>
          <w:tcPr>
            <w:tcW w:w="709"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计量</w:t>
            </w:r>
            <w:r>
              <w:rPr>
                <w:rFonts w:ascii="方正书宋_GBK" w:eastAsia="方正书宋_GBK"/>
                <w:b/>
                <w:sz w:val="21"/>
                <w:szCs w:val="21"/>
              </w:rPr>
              <w:t xml:space="preserve">  </w:t>
            </w:r>
            <w:r>
              <w:rPr>
                <w:rFonts w:hint="eastAsia" w:ascii="方正书宋_GBK" w:eastAsia="方正书宋_GBK"/>
                <w:b/>
                <w:sz w:val="21"/>
                <w:szCs w:val="21"/>
              </w:rPr>
              <w:t>单位</w:t>
            </w:r>
          </w:p>
        </w:tc>
        <w:tc>
          <w:tcPr>
            <w:tcW w:w="907"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数量</w:t>
            </w:r>
          </w:p>
        </w:tc>
        <w:tc>
          <w:tcPr>
            <w:tcW w:w="907" w:type="dxa"/>
            <w:vMerge w:val="restart"/>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单价</w:t>
            </w:r>
          </w:p>
        </w:tc>
        <w:tc>
          <w:tcPr>
            <w:tcW w:w="6804" w:type="dxa"/>
            <w:gridSpan w:val="6"/>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预算资金</w:t>
            </w:r>
          </w:p>
        </w:tc>
        <w:tc>
          <w:tcPr>
            <w:tcW w:w="1531" w:type="dxa"/>
            <w:vMerge w:val="continue"/>
            <w:shd w:val="clear" w:color="auto" w:fill="auto"/>
            <w:vAlign w:val="center"/>
          </w:tcPr>
          <w:p>
            <w:pPr>
              <w:spacing w:line="300" w:lineRule="exact"/>
              <w:jc w:val="left"/>
              <w:outlineLvl w:val="0"/>
              <w:rPr>
                <w:rFonts w:ascii="Times New Roman" w:eastAsia="方正仿宋_GBK"/>
                <w:sz w:val="21"/>
                <w:szCs w:val="21"/>
              </w:rPr>
            </w:pPr>
          </w:p>
        </w:tc>
        <w:tc>
          <w:tcPr>
            <w:tcW w:w="1531" w:type="dxa"/>
            <w:vMerge w:val="continue"/>
            <w:shd w:val="clear" w:color="auto" w:fill="auto"/>
            <w:vAlign w:val="center"/>
          </w:tcPr>
          <w:p>
            <w:pPr>
              <w:spacing w:line="300" w:lineRule="exact"/>
              <w:jc w:val="left"/>
              <w:outlineLvl w:val="0"/>
              <w:rPr>
                <w:rFonts w:ascii="Times New Roman" w:eastAsia="方正仿宋_GBK"/>
                <w:sz w:val="21"/>
                <w:szCs w:val="21"/>
              </w:rPr>
            </w:pPr>
          </w:p>
        </w:tc>
        <w:tc>
          <w:tcPr>
            <w:tcW w:w="709" w:type="dxa"/>
            <w:vMerge w:val="continue"/>
            <w:shd w:val="clear" w:color="auto" w:fill="auto"/>
            <w:vAlign w:val="center"/>
          </w:tcPr>
          <w:p>
            <w:pPr>
              <w:spacing w:line="300" w:lineRule="exact"/>
              <w:jc w:val="left"/>
              <w:outlineLvl w:val="0"/>
              <w:rPr>
                <w:rFonts w:ascii="Times New Roman" w:eastAsia="方正仿宋_GBK"/>
                <w:sz w:val="21"/>
                <w:szCs w:val="21"/>
              </w:rPr>
            </w:pPr>
          </w:p>
        </w:tc>
        <w:tc>
          <w:tcPr>
            <w:tcW w:w="907" w:type="dxa"/>
            <w:vMerge w:val="continue"/>
            <w:shd w:val="clear" w:color="auto" w:fill="auto"/>
            <w:vAlign w:val="center"/>
          </w:tcPr>
          <w:p>
            <w:pPr>
              <w:spacing w:line="300" w:lineRule="exact"/>
              <w:jc w:val="left"/>
              <w:outlineLvl w:val="0"/>
              <w:rPr>
                <w:rFonts w:ascii="Times New Roman" w:eastAsia="方正仿宋_GBK"/>
                <w:sz w:val="21"/>
                <w:szCs w:val="21"/>
              </w:rPr>
            </w:pPr>
          </w:p>
        </w:tc>
        <w:tc>
          <w:tcPr>
            <w:tcW w:w="907" w:type="dxa"/>
            <w:vMerge w:val="continue"/>
            <w:shd w:val="clear" w:color="auto" w:fill="auto"/>
            <w:vAlign w:val="center"/>
          </w:tcPr>
          <w:p>
            <w:pPr>
              <w:spacing w:line="300" w:lineRule="exact"/>
              <w:jc w:val="left"/>
              <w:outlineLvl w:val="0"/>
              <w:rPr>
                <w:rFonts w:ascii="Times New Roman" w:eastAsia="方正仿宋_GBK"/>
                <w:sz w:val="21"/>
                <w:szCs w:val="21"/>
              </w:rPr>
            </w:pP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合计</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一般公共预算拨款</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基金预算拨款</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国有资本经营预算拨款</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财政专户核拨</w:t>
            </w:r>
          </w:p>
        </w:tc>
        <w:tc>
          <w:tcPr>
            <w:tcW w:w="113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中共石家庄市鹿泉区委网络安全和信息化委员会小计</w:t>
            </w:r>
          </w:p>
        </w:tc>
        <w:tc>
          <w:tcPr>
            <w:tcW w:w="1134" w:type="dxa"/>
            <w:shd w:val="clear" w:color="auto" w:fill="auto"/>
            <w:vAlign w:val="center"/>
          </w:tcPr>
          <w:p>
            <w:pPr>
              <w:spacing w:line="300" w:lineRule="exact"/>
              <w:jc w:val="right"/>
              <w:rPr>
                <w:rFonts w:ascii="方正书宋_GBK" w:eastAsia="方正书宋_GBK"/>
                <w:b/>
                <w:sz w:val="21"/>
                <w:szCs w:val="21"/>
              </w:rPr>
            </w:pPr>
          </w:p>
        </w:tc>
        <w:tc>
          <w:tcPr>
            <w:tcW w:w="1531" w:type="dxa"/>
            <w:shd w:val="clear" w:color="auto" w:fill="auto"/>
            <w:vAlign w:val="center"/>
          </w:tcPr>
          <w:p>
            <w:pPr>
              <w:spacing w:line="300" w:lineRule="exact"/>
              <w:jc w:val="left"/>
              <w:rPr>
                <w:rFonts w:ascii="方正书宋_GBK" w:eastAsia="方正书宋_GBK"/>
                <w:b/>
                <w:sz w:val="21"/>
                <w:szCs w:val="21"/>
              </w:rPr>
            </w:pPr>
          </w:p>
        </w:tc>
        <w:tc>
          <w:tcPr>
            <w:tcW w:w="1531" w:type="dxa"/>
            <w:shd w:val="clear" w:color="auto" w:fill="auto"/>
            <w:vAlign w:val="center"/>
          </w:tcPr>
          <w:p>
            <w:pPr>
              <w:spacing w:line="300" w:lineRule="exact"/>
              <w:jc w:val="left"/>
              <w:rPr>
                <w:rFonts w:ascii="方正书宋_GBK" w:eastAsia="方正书宋_GBK"/>
                <w:b/>
                <w:sz w:val="21"/>
                <w:szCs w:val="21"/>
              </w:rPr>
            </w:pPr>
          </w:p>
        </w:tc>
        <w:tc>
          <w:tcPr>
            <w:tcW w:w="709" w:type="dxa"/>
            <w:shd w:val="clear" w:color="auto" w:fill="auto"/>
            <w:vAlign w:val="center"/>
          </w:tcPr>
          <w:p>
            <w:pPr>
              <w:spacing w:line="300" w:lineRule="exact"/>
              <w:jc w:val="center"/>
              <w:rPr>
                <w:rFonts w:ascii="方正书宋_GBK" w:eastAsia="方正书宋_GBK"/>
                <w:b/>
                <w:sz w:val="21"/>
                <w:szCs w:val="21"/>
              </w:rPr>
            </w:pPr>
          </w:p>
        </w:tc>
        <w:tc>
          <w:tcPr>
            <w:tcW w:w="907" w:type="dxa"/>
            <w:shd w:val="clear" w:color="auto" w:fill="auto"/>
            <w:vAlign w:val="center"/>
          </w:tcPr>
          <w:p>
            <w:pPr>
              <w:spacing w:line="300" w:lineRule="exact"/>
              <w:jc w:val="right"/>
              <w:rPr>
                <w:rFonts w:ascii="方正书宋_GBK" w:eastAsia="方正书宋_GBK"/>
                <w:b/>
                <w:sz w:val="21"/>
                <w:szCs w:val="21"/>
              </w:rPr>
            </w:pPr>
          </w:p>
        </w:tc>
        <w:tc>
          <w:tcPr>
            <w:tcW w:w="907" w:type="dxa"/>
            <w:shd w:val="clear" w:color="auto" w:fill="auto"/>
            <w:vAlign w:val="center"/>
          </w:tcPr>
          <w:p>
            <w:pPr>
              <w:spacing w:line="300" w:lineRule="exact"/>
              <w:jc w:val="right"/>
              <w:rPr>
                <w:rFonts w:ascii="方正书宋_GBK" w:eastAsia="方正书宋_GBK"/>
                <w:b/>
                <w:sz w:val="21"/>
                <w:szCs w:val="21"/>
              </w:rPr>
            </w:pPr>
          </w:p>
        </w:tc>
        <w:tc>
          <w:tcPr>
            <w:tcW w:w="1134"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6.18</w:t>
            </w:r>
          </w:p>
        </w:tc>
        <w:tc>
          <w:tcPr>
            <w:tcW w:w="1134" w:type="dxa"/>
            <w:shd w:val="clear" w:color="auto" w:fill="auto"/>
            <w:vAlign w:val="center"/>
          </w:tcPr>
          <w:p>
            <w:pPr>
              <w:spacing w:line="300" w:lineRule="exact"/>
              <w:jc w:val="right"/>
              <w:rPr>
                <w:rFonts w:ascii="方正书宋_GBK" w:eastAsia="方正书宋_GBK"/>
                <w:b/>
                <w:sz w:val="21"/>
                <w:szCs w:val="21"/>
              </w:rPr>
            </w:pPr>
            <w:r>
              <w:rPr>
                <w:rFonts w:ascii="方正书宋_GBK" w:eastAsia="方正书宋_GBK"/>
                <w:b/>
                <w:sz w:val="21"/>
                <w:szCs w:val="21"/>
              </w:rPr>
              <w:t>6.18</w:t>
            </w:r>
          </w:p>
        </w:tc>
        <w:tc>
          <w:tcPr>
            <w:tcW w:w="1134" w:type="dxa"/>
            <w:shd w:val="clear" w:color="auto" w:fill="auto"/>
            <w:vAlign w:val="center"/>
          </w:tcPr>
          <w:p>
            <w:pPr>
              <w:spacing w:line="300" w:lineRule="exact"/>
              <w:jc w:val="right"/>
              <w:rPr>
                <w:rFonts w:ascii="方正书宋_GBK" w:eastAsia="方正书宋_GBK"/>
                <w:b/>
                <w:sz w:val="21"/>
                <w:szCs w:val="21"/>
              </w:rPr>
            </w:pPr>
          </w:p>
        </w:tc>
        <w:tc>
          <w:tcPr>
            <w:tcW w:w="1134" w:type="dxa"/>
            <w:shd w:val="clear" w:color="auto" w:fill="auto"/>
            <w:vAlign w:val="center"/>
          </w:tcPr>
          <w:p>
            <w:pPr>
              <w:spacing w:line="300" w:lineRule="exact"/>
              <w:jc w:val="right"/>
              <w:rPr>
                <w:rFonts w:ascii="方正书宋_GBK" w:eastAsia="方正书宋_GBK"/>
                <w:b/>
                <w:sz w:val="21"/>
                <w:szCs w:val="21"/>
              </w:rPr>
            </w:pPr>
          </w:p>
        </w:tc>
        <w:tc>
          <w:tcPr>
            <w:tcW w:w="1134" w:type="dxa"/>
            <w:shd w:val="clear" w:color="auto" w:fill="auto"/>
            <w:vAlign w:val="center"/>
          </w:tcPr>
          <w:p>
            <w:pPr>
              <w:spacing w:line="300" w:lineRule="exact"/>
              <w:jc w:val="right"/>
              <w:rPr>
                <w:rFonts w:ascii="方正书宋_GBK" w:eastAsia="方正书宋_GBK"/>
                <w:b/>
                <w:sz w:val="21"/>
                <w:szCs w:val="21"/>
              </w:rPr>
            </w:pPr>
          </w:p>
        </w:tc>
        <w:tc>
          <w:tcPr>
            <w:tcW w:w="1134" w:type="dxa"/>
            <w:shd w:val="clear" w:color="auto" w:fill="auto"/>
            <w:vAlign w:val="center"/>
          </w:tcPr>
          <w:p>
            <w:pPr>
              <w:spacing w:line="300" w:lineRule="exact"/>
              <w:jc w:val="right"/>
              <w:rPr>
                <w:rFonts w:ascii="方正书宋_GBK" w:eastAsia="方正书宋_GBK"/>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网络宣传、网络安全等经费</w:t>
            </w:r>
          </w:p>
        </w:tc>
        <w:tc>
          <w:tcPr>
            <w:tcW w:w="113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30.00</w:t>
            </w:r>
          </w:p>
        </w:tc>
        <w:tc>
          <w:tcPr>
            <w:tcW w:w="1531" w:type="dxa"/>
            <w:shd w:val="clear" w:color="auto" w:fill="auto"/>
            <w:vAlign w:val="center"/>
          </w:tcPr>
          <w:p>
            <w:pPr>
              <w:spacing w:line="300" w:lineRule="exact"/>
              <w:jc w:val="left"/>
              <w:rPr>
                <w:rFonts w:ascii="方正书宋_GBK" w:eastAsia="方正书宋_GBK"/>
                <w:sz w:val="21"/>
                <w:szCs w:val="21"/>
              </w:rPr>
            </w:pPr>
            <w:r>
              <w:rPr>
                <w:rFonts w:hint="eastAsia" w:ascii="方正书宋_GBK" w:eastAsia="方正书宋_GBK"/>
                <w:sz w:val="21"/>
                <w:szCs w:val="21"/>
              </w:rPr>
              <w:t>其他专业技术服务</w:t>
            </w:r>
          </w:p>
        </w:tc>
        <w:tc>
          <w:tcPr>
            <w:tcW w:w="1531" w:type="dxa"/>
            <w:shd w:val="clear" w:color="auto" w:fill="auto"/>
            <w:vAlign w:val="center"/>
          </w:tcPr>
          <w:p>
            <w:pPr>
              <w:spacing w:line="300" w:lineRule="exact"/>
              <w:jc w:val="left"/>
              <w:rPr>
                <w:rFonts w:ascii="方正书宋_GBK" w:eastAsia="方正书宋_GBK"/>
                <w:sz w:val="21"/>
                <w:szCs w:val="21"/>
              </w:rPr>
            </w:pPr>
            <w:r>
              <w:rPr>
                <w:rFonts w:ascii="方正书宋_GBK" w:eastAsia="方正书宋_GBK"/>
                <w:sz w:val="21"/>
                <w:szCs w:val="21"/>
              </w:rPr>
              <w:t>C0908</w:t>
            </w:r>
          </w:p>
        </w:tc>
        <w:tc>
          <w:tcPr>
            <w:tcW w:w="709"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个</w:t>
            </w:r>
          </w:p>
        </w:tc>
        <w:tc>
          <w:tcPr>
            <w:tcW w:w="907"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1.00</w:t>
            </w:r>
          </w:p>
        </w:tc>
        <w:tc>
          <w:tcPr>
            <w:tcW w:w="907"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pPr>
              <w:spacing w:line="300" w:lineRule="exact"/>
              <w:jc w:val="right"/>
              <w:rPr>
                <w:rFonts w:ascii="方正书宋_GBK" w:eastAsia="方正书宋_GBK"/>
                <w:sz w:val="21"/>
                <w:szCs w:val="21"/>
              </w:rPr>
            </w:pPr>
          </w:p>
        </w:tc>
        <w:tc>
          <w:tcPr>
            <w:tcW w:w="1134" w:type="dxa"/>
            <w:shd w:val="clear" w:color="auto" w:fill="auto"/>
            <w:vAlign w:val="center"/>
          </w:tcPr>
          <w:p>
            <w:pPr>
              <w:spacing w:line="300" w:lineRule="exact"/>
              <w:jc w:val="right"/>
              <w:rPr>
                <w:rFonts w:ascii="方正书宋_GBK" w:eastAsia="方正书宋_GBK"/>
                <w:sz w:val="21"/>
                <w:szCs w:val="21"/>
              </w:rPr>
            </w:pPr>
          </w:p>
        </w:tc>
        <w:tc>
          <w:tcPr>
            <w:tcW w:w="1134" w:type="dxa"/>
            <w:shd w:val="clear" w:color="auto" w:fill="auto"/>
            <w:vAlign w:val="center"/>
          </w:tcPr>
          <w:p>
            <w:pPr>
              <w:spacing w:line="300" w:lineRule="exact"/>
              <w:jc w:val="right"/>
              <w:rPr>
                <w:rFonts w:ascii="方正书宋_GBK" w:eastAsia="方正书宋_GBK"/>
                <w:sz w:val="21"/>
                <w:szCs w:val="21"/>
              </w:rPr>
            </w:pPr>
          </w:p>
        </w:tc>
        <w:tc>
          <w:tcPr>
            <w:tcW w:w="1134" w:type="dxa"/>
            <w:shd w:val="clear" w:color="auto" w:fill="auto"/>
            <w:vAlign w:val="center"/>
          </w:tcPr>
          <w:p>
            <w:pPr>
              <w:spacing w:line="300" w:lineRule="exact"/>
              <w:jc w:val="right"/>
              <w:rPr>
                <w:rFonts w:ascii="方正书宋_GBK" w:eastAsia="方正书宋_GBK"/>
                <w:sz w:val="21"/>
                <w:szCs w:val="21"/>
              </w:rPr>
            </w:pPr>
          </w:p>
        </w:tc>
      </w:tr>
    </w:tbl>
    <w:p>
      <w:pPr>
        <w:spacing w:line="300" w:lineRule="exact"/>
        <w:jc w:val="left"/>
        <w:outlineLvl w:val="0"/>
        <w:rPr>
          <w:rFonts w:ascii="Times New Roman" w:eastAsiaTheme="minorEastAsia"/>
          <w:sz w:val="21"/>
          <w:szCs w:val="21"/>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420" w:firstLineChars="200"/>
        <w:jc w:val="left"/>
        <w:rPr>
          <w:rFonts w:ascii="黑体" w:hAnsi="黑体" w:eastAsia="黑体" w:cs="Times New Roman"/>
          <w:sz w:val="21"/>
          <w:szCs w:val="21"/>
        </w:rPr>
      </w:pPr>
      <w:r>
        <w:rPr>
          <w:rFonts w:hint="eastAsia" w:ascii="黑体" w:hAnsi="黑体" w:eastAsia="黑体" w:cs="Times New Roman"/>
          <w:sz w:val="21"/>
          <w:szCs w:val="21"/>
        </w:rPr>
        <w:t>七、国有资产信息</w:t>
      </w:r>
    </w:p>
    <w:p>
      <w:pPr>
        <w:ind w:firstLine="640"/>
        <w:rPr>
          <w:rFonts w:ascii="Times New Roman" w:hAnsi="Times New Roman" w:eastAsia="仿宋" w:cs="Times New Roman"/>
          <w:color w:val="000000"/>
          <w:sz w:val="21"/>
          <w:szCs w:val="21"/>
        </w:rPr>
      </w:pPr>
      <w:r>
        <w:rPr>
          <w:rFonts w:hint="eastAsia" w:ascii="Times New Roman" w:hAnsi="Times New Roman" w:eastAsia="仿宋" w:cs="Times New Roman"/>
          <w:sz w:val="21"/>
          <w:szCs w:val="21"/>
        </w:rPr>
        <w:t>中共石家庄市鹿泉区委网络安全和信息化委员会办公室</w:t>
      </w:r>
      <w:r>
        <w:rPr>
          <w:rFonts w:hint="eastAsia" w:ascii="Times New Roman" w:hAnsi="Times New Roman" w:eastAsia="仿宋" w:cs="Times New Roman"/>
          <w:color w:val="000000"/>
          <w:sz w:val="21"/>
          <w:szCs w:val="21"/>
        </w:rPr>
        <w:t>2019</w:t>
      </w:r>
      <w:r>
        <w:rPr>
          <w:rFonts w:ascii="Times New Roman" w:hAnsi="Times New Roman" w:eastAsia="仿宋" w:cs="Times New Roman"/>
          <w:color w:val="000000"/>
          <w:sz w:val="21"/>
          <w:szCs w:val="21"/>
        </w:rPr>
        <w:t>年末固定资产金额为</w:t>
      </w:r>
      <w:r>
        <w:rPr>
          <w:rFonts w:hint="eastAsia" w:ascii="Times New Roman" w:hAnsi="Times New Roman" w:eastAsia="仿宋" w:cs="Times New Roman"/>
          <w:color w:val="000000"/>
          <w:sz w:val="21"/>
          <w:szCs w:val="21"/>
        </w:rPr>
        <w:t>12.73</w:t>
      </w:r>
      <w:r>
        <w:rPr>
          <w:rFonts w:ascii="Times New Roman" w:hAnsi="Times New Roman" w:eastAsia="仿宋" w:cs="Times New Roman"/>
          <w:color w:val="000000"/>
          <w:sz w:val="21"/>
          <w:szCs w:val="21"/>
        </w:rPr>
        <w:t>万元（详见下表），本年度</w:t>
      </w:r>
      <w:r>
        <w:rPr>
          <w:rFonts w:hint="eastAsia" w:ascii="Times New Roman" w:hAnsi="Times New Roman" w:eastAsia="仿宋" w:cs="Times New Roman"/>
          <w:color w:val="000000"/>
          <w:sz w:val="21"/>
          <w:szCs w:val="21"/>
        </w:rPr>
        <w:t>各部门</w:t>
      </w:r>
      <w:r>
        <w:rPr>
          <w:rFonts w:ascii="Times New Roman" w:hAnsi="Times New Roman" w:eastAsia="仿宋" w:cs="Times New Roman"/>
          <w:color w:val="000000"/>
          <w:sz w:val="21"/>
          <w:szCs w:val="21"/>
        </w:rPr>
        <w:t>拟购置固定资产</w:t>
      </w:r>
      <w:r>
        <w:rPr>
          <w:rFonts w:hint="eastAsia" w:ascii="Times New Roman" w:hAnsi="Times New Roman" w:eastAsia="仿宋" w:cs="Times New Roman"/>
          <w:color w:val="000000"/>
          <w:sz w:val="21"/>
          <w:szCs w:val="21"/>
        </w:rPr>
        <w:t>总额为8.07</w:t>
      </w:r>
      <w:r>
        <w:rPr>
          <w:rFonts w:ascii="Times New Roman" w:hAnsi="Times New Roman" w:eastAsia="仿宋" w:cs="Times New Roman"/>
          <w:color w:val="000000"/>
          <w:sz w:val="21"/>
          <w:szCs w:val="21"/>
        </w:rPr>
        <w:t>万元，主要为计算机、空调、打印机、</w:t>
      </w:r>
      <w:r>
        <w:rPr>
          <w:rFonts w:hint="eastAsia" w:ascii="Times New Roman" w:hAnsi="Times New Roman" w:eastAsia="仿宋" w:cs="Times New Roman"/>
          <w:color w:val="000000"/>
          <w:sz w:val="21"/>
          <w:szCs w:val="21"/>
        </w:rPr>
        <w:t>执法记录仪、手持执法终端</w:t>
      </w:r>
      <w:r>
        <w:rPr>
          <w:rFonts w:ascii="Times New Roman" w:hAnsi="Times New Roman" w:eastAsia="仿宋" w:cs="Times New Roman"/>
          <w:color w:val="000000"/>
          <w:sz w:val="21"/>
          <w:szCs w:val="21"/>
        </w:rPr>
        <w:t>等</w:t>
      </w:r>
      <w:r>
        <w:rPr>
          <w:rFonts w:hint="eastAsia" w:ascii="Times New Roman" w:hAnsi="Times New Roman" w:eastAsia="仿宋" w:cs="Times New Roman"/>
          <w:color w:val="000000"/>
          <w:sz w:val="21"/>
          <w:szCs w:val="21"/>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编制部门：</w:t>
            </w:r>
            <w:r>
              <w:rPr>
                <w:rFonts w:hint="eastAsia" w:ascii="Times New Roman" w:hAnsi="Times New Roman" w:eastAsia="仿宋" w:cs="Times New Roman"/>
                <w:kern w:val="0"/>
                <w:sz w:val="21"/>
                <w:szCs w:val="21"/>
              </w:rPr>
              <w:t>中共石家庄市鹿泉区委网络安全和信息化委员会办公室</w:t>
            </w:r>
          </w:p>
        </w:tc>
        <w:tc>
          <w:tcPr>
            <w:tcW w:w="5103" w:type="dxa"/>
            <w:tcBorders>
              <w:top w:val="nil"/>
              <w:left w:val="nil"/>
              <w:bottom w:val="nil"/>
              <w:right w:val="nil"/>
            </w:tcBorders>
            <w:vAlign w:val="center"/>
          </w:tcPr>
          <w:p>
            <w:pPr>
              <w:widowControl/>
              <w:ind w:firstLine="1260" w:firstLineChars="600"/>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截止时间：201</w:t>
            </w:r>
            <w:r>
              <w:rPr>
                <w:rFonts w:hint="eastAsia" w:ascii="Times New Roman" w:hAnsi="Times New Roman" w:eastAsia="仿宋" w:cs="Times New Roman"/>
                <w:kern w:val="0"/>
                <w:sz w:val="21"/>
                <w:szCs w:val="21"/>
              </w:rPr>
              <w:t>9</w:t>
            </w:r>
            <w:r>
              <w:rPr>
                <w:rFonts w:ascii="Times New Roman" w:hAnsi="Times New Roman" w:eastAsia="仿宋" w:cs="Times New Roman"/>
                <w:kern w:val="0"/>
                <w:sz w:val="21"/>
                <w:szCs w:val="21"/>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1"/>
                <w:szCs w:val="21"/>
              </w:rPr>
            </w:pPr>
            <w:r>
              <w:rPr>
                <w:rFonts w:hint="eastAsia" w:ascii="Times New Roman" w:hAnsi="Times New Roman" w:eastAsia="仿宋" w:cs="Times New Roman"/>
                <w:color w:val="000000"/>
                <w:kern w:val="0"/>
                <w:sz w:val="21"/>
                <w:szCs w:val="21"/>
              </w:rPr>
              <w:t>12.73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1"/>
                <w:szCs w:val="21"/>
              </w:rPr>
            </w:pPr>
            <w:r>
              <w:rPr>
                <w:rFonts w:hint="eastAsia" w:ascii="Times New Roman" w:hAnsi="Times New Roman" w:eastAsia="仿宋" w:cs="Times New Roman"/>
                <w:kern w:val="0"/>
                <w:sz w:val="21"/>
                <w:szCs w:val="21"/>
              </w:rPr>
              <w:t>12.73</w:t>
            </w:r>
          </w:p>
        </w:tc>
      </w:tr>
    </w:tbl>
    <w:p>
      <w:pPr>
        <w:autoSpaceDE w:val="0"/>
        <w:autoSpaceDN w:val="0"/>
        <w:adjustRightInd w:val="0"/>
        <w:ind w:firstLine="420" w:firstLineChars="200"/>
        <w:jc w:val="left"/>
        <w:rPr>
          <w:rFonts w:ascii="黑体" w:hAnsi="黑体" w:eastAsia="黑体" w:cs="Times New Roman"/>
          <w:sz w:val="21"/>
          <w:szCs w:val="21"/>
        </w:rPr>
      </w:pPr>
      <w:r>
        <w:rPr>
          <w:rFonts w:hint="eastAsia" w:ascii="黑体" w:hAnsi="黑体" w:eastAsia="黑体" w:cs="Times New Roman"/>
          <w:sz w:val="21"/>
          <w:szCs w:val="21"/>
        </w:rPr>
        <w:t>八、名词解释</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1、一般公共预算拨款收入：指区级财政当年拨付的资金。</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2、事业收入：指事业单位开展专业业务活动及辅助活动所取得的收入。</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3、其他收入：指除“一般公共预算拨款收入”、“事业收入”等以外的收入。主要是按规定动用的租房收入、存款利息收入等。</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4、基本支出：指为保障机构正常运转、完成日常工作任务而发生的人员支出和公用支出。</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5、项目支出：指在基本支出之外为完成特定行政任务和事业发展目标所发生的支出。</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6、上缴上级支出：指下级单位上缴上级的支出。</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7、“三公”经费：纳入省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9、上年结转：指以前年度尚未完成、结转到本年仍按原规定用途继续使用的资金。</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10、事业单位经营支出：指事业单位在专业业务活动及其辅助活动之外开展非独立核算经营活动发生的支出。</w:t>
      </w:r>
    </w:p>
    <w:p>
      <w:pPr>
        <w:ind w:firstLine="420" w:firstLineChars="200"/>
        <w:rPr>
          <w:rFonts w:ascii="宋体-方正超大字符集" w:hAnsi="宋体-方正超大字符集" w:eastAsia="宋体-方正超大字符集" w:cs="宋体-方正超大字符集"/>
          <w:b/>
          <w:bCs/>
          <w:sz w:val="21"/>
          <w:szCs w:val="21"/>
        </w:rPr>
      </w:pPr>
      <w:r>
        <w:rPr>
          <w:rFonts w:hint="eastAsia" w:ascii="宋体-方正超大字符集" w:hAnsi="宋体-方正超大字符集" w:eastAsia="宋体-方正超大字符集" w:cs="宋体-方正超大字符集"/>
          <w:b/>
          <w:bCs/>
          <w:sz w:val="21"/>
          <w:szCs w:val="21"/>
        </w:rPr>
        <w:t>九、其他需要说明的事项</w:t>
      </w:r>
    </w:p>
    <w:p>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Times New Roman"/>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仿宋_GBK">
    <w:altName w:val="Times New Roman"/>
    <w:panose1 w:val="00000000000000000000"/>
    <w:charset w:val="00"/>
    <w:family w:val="auto"/>
    <w:pitch w:val="default"/>
    <w:sig w:usb0="00000000" w:usb1="00000000" w:usb2="00000000" w:usb3="00000000" w:csb0="00000000" w:csb1="00000000"/>
  </w:font>
  <w:font w:name="方正书宋_GBK">
    <w:altName w:val="hakuyoxingshu7000"/>
    <w:panose1 w:val="00000000000000000000"/>
    <w:charset w:val="86"/>
    <w:family w:val="script"/>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宋体-方正超大字符集">
    <w:altName w:val="微软雅黑"/>
    <w:panose1 w:val="00000000000000000000"/>
    <w:charset w:val="86"/>
    <w:family w:val="auto"/>
    <w:pitch w:val="default"/>
    <w:sig w:usb0="00000000" w:usb1="00000000" w:usb2="00000000" w:usb3="00000000" w:csb0="00040000" w:csb1="00000000"/>
  </w:font>
  <w:font w:name="hakuyoxingshu7000">
    <w:panose1 w:val="02000600000000000000"/>
    <w:charset w:val="86"/>
    <w:family w:val="auto"/>
    <w:pitch w:val="default"/>
    <w:sig w:usb0="FFFFFFFF" w:usb1="E9FFFFFF" w:usb2="0000003F" w:usb3="00000000" w:csb0="603F00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17</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FmZGU5OWI5OGJjNjg4M2NhYzJkMDA0MWJlMTkxZTAifQ=="/>
  </w:docVars>
  <w:rsids>
    <w:rsidRoot w:val="00EE71BA"/>
    <w:rsid w:val="000937B5"/>
    <w:rsid w:val="00094DD9"/>
    <w:rsid w:val="000A7757"/>
    <w:rsid w:val="000C7140"/>
    <w:rsid w:val="00233F92"/>
    <w:rsid w:val="002466C8"/>
    <w:rsid w:val="0025661F"/>
    <w:rsid w:val="002F2AA2"/>
    <w:rsid w:val="002F5752"/>
    <w:rsid w:val="00323B29"/>
    <w:rsid w:val="003510B3"/>
    <w:rsid w:val="0039059E"/>
    <w:rsid w:val="003A21EC"/>
    <w:rsid w:val="003C4D0D"/>
    <w:rsid w:val="00494CEE"/>
    <w:rsid w:val="00497765"/>
    <w:rsid w:val="004C6FC2"/>
    <w:rsid w:val="004D71E9"/>
    <w:rsid w:val="005269BE"/>
    <w:rsid w:val="00647EA2"/>
    <w:rsid w:val="006B3ED1"/>
    <w:rsid w:val="00726FDD"/>
    <w:rsid w:val="0075778A"/>
    <w:rsid w:val="00783265"/>
    <w:rsid w:val="007F0341"/>
    <w:rsid w:val="009A521C"/>
    <w:rsid w:val="009A652B"/>
    <w:rsid w:val="009B1AA2"/>
    <w:rsid w:val="00A03F46"/>
    <w:rsid w:val="00B20FD0"/>
    <w:rsid w:val="00C26385"/>
    <w:rsid w:val="00C4398E"/>
    <w:rsid w:val="00C46139"/>
    <w:rsid w:val="00D30F06"/>
    <w:rsid w:val="00D36ACD"/>
    <w:rsid w:val="00D607DA"/>
    <w:rsid w:val="00DC6EE5"/>
    <w:rsid w:val="00E60D8C"/>
    <w:rsid w:val="00EE71BA"/>
    <w:rsid w:val="00F36248"/>
    <w:rsid w:val="00F47ACC"/>
    <w:rsid w:val="00F61265"/>
    <w:rsid w:val="00F867E4"/>
    <w:rsid w:val="00FF437A"/>
    <w:rsid w:val="01FB590D"/>
    <w:rsid w:val="056D17C0"/>
    <w:rsid w:val="05A23DEA"/>
    <w:rsid w:val="257842E7"/>
    <w:rsid w:val="349C5F13"/>
    <w:rsid w:val="40FE7E9C"/>
    <w:rsid w:val="483F2F30"/>
    <w:rsid w:val="49C60767"/>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6763</Words>
  <Characters>7224</Characters>
  <Lines>57</Lines>
  <Paragraphs>16</Paragraphs>
  <TotalTime>163</TotalTime>
  <ScaleCrop>false</ScaleCrop>
  <LinksUpToDate>false</LinksUpToDate>
  <CharactersWithSpaces>7244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2024-07-03T09:19:51Z</dcterms:modified>
  <dc:title>o</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979002D77B1F4A2F9CBC257C3C95AA12</vt:lpwstr>
  </property>
</Properties>
</file>