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rFonts w:hint="eastAsia" w:eastAsia="思源黑体 HW Bold"/>
                                  <w:color w:val="000000" w:themeColor="text1"/>
                                  <w:kern w:val="0"/>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w:t>
                              </w: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rFonts w:hint="eastAsia" w:eastAsia="思源黑体 HW Bold"/>
                            <w:color w:val="000000" w:themeColor="text1"/>
                            <w:kern w:val="0"/>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w:t>
                        </w:r>
                        <w:r>
                          <w:rPr>
                            <w:rFonts w:hint="eastAsia" w:ascii="思源黑体 HW Bold" w:hAnsi="思源黑体 HW Bold" w:eastAsia="思源黑体 HW Bold"/>
                            <w:color w:val="000000" w:themeColor="text1"/>
                            <w:kern w:val="24"/>
                            <w:sz w:val="92"/>
                            <w:szCs w:val="92"/>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hint="eastAsia" w:ascii="黑体" w:hAnsi="Times New Roman" w:eastAsia="黑体" w:cs="Times New Roman"/>
          <w:sz w:val="48"/>
          <w:szCs w:val="48"/>
          <w:lang w:eastAsia="zh-CN"/>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jc w:val="both"/>
        <w:rPr>
          <w:rFonts w:hint="eastAsia" w:ascii="黑体" w:hAnsi="黑体" w:eastAsia="黑体" w:cs="黑体"/>
          <w:b/>
          <w:bCs/>
          <w:sz w:val="72"/>
          <w:szCs w:val="96"/>
          <w:lang w:eastAsia="zh-CN"/>
        </w:rPr>
      </w:pPr>
      <w:r>
        <w:rPr>
          <w:rFonts w:hint="eastAsia" w:ascii="黑体" w:hAnsi="黑体" w:eastAsia="黑体" w:cs="黑体"/>
          <w:b/>
          <w:bCs/>
          <w:sz w:val="72"/>
          <w:szCs w:val="96"/>
        </w:rPr>
        <w:t>2019年度</w:t>
      </w:r>
      <w:r>
        <w:rPr>
          <w:rFonts w:hint="eastAsia" w:ascii="黑体" w:hAnsi="黑体" w:eastAsia="黑体" w:cs="黑体"/>
          <w:b/>
          <w:bCs/>
          <w:sz w:val="72"/>
          <w:szCs w:val="96"/>
          <w:lang w:eastAsia="zh-CN"/>
        </w:rPr>
        <w:t>部门</w:t>
      </w:r>
      <w:r>
        <w:rPr>
          <w:rFonts w:hint="eastAsia" w:ascii="黑体" w:hAnsi="黑体" w:eastAsia="黑体" w:cs="黑体"/>
          <w:b/>
          <w:bCs/>
          <w:sz w:val="72"/>
          <w:szCs w:val="96"/>
        </w:rPr>
        <w:t>决算</w:t>
      </w:r>
      <w:r>
        <w:rPr>
          <w:rFonts w:hint="eastAsia" w:ascii="黑体" w:hAnsi="黑体" w:eastAsia="黑体" w:cs="黑体"/>
          <w:b/>
          <w:bCs/>
          <w:sz w:val="72"/>
          <w:szCs w:val="96"/>
          <w:lang w:eastAsia="zh-CN"/>
        </w:rPr>
        <w:t>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中共石家庄市鹿泉区委宣传部</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jc w:val="both"/>
        <w:rPr>
          <w:rFonts w:ascii="黑体" w:hAnsi="黑体" w:eastAsia="黑体" w:cs="黑体"/>
          <w:sz w:val="56"/>
          <w:szCs w:val="7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hint="eastAsia" w:ascii="Times New Roman" w:hAnsi="Times New Roman" w:eastAsia="黑体" w:cs="Times New Roman"/>
          <w:sz w:val="32"/>
          <w:szCs w:val="32"/>
          <w:lang w:val="en-US" w:eastAsia="zh-CN"/>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lang w:val="en-US" w:eastAsia="zh-CN"/>
        </w:rPr>
        <w:t xml:space="preserve">  2019年部门决算情况说明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一、收入支出决算总体情况说明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二、收入决算情况说明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三、支出决算情况说明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四、财政拨款收入支出决算总体情况说明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五、一般公共预算“三公”经费支出决算情况说明</w:t>
      </w:r>
    </w:p>
    <w:p>
      <w:pPr>
        <w:widowControl/>
        <w:spacing w:after="160" w:line="580" w:lineRule="exact"/>
        <w:ind w:left="640"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六、预算绩效情况说明</w:t>
      </w:r>
    </w:p>
    <w:p>
      <w:pPr>
        <w:widowControl/>
        <w:spacing w:after="160" w:line="580" w:lineRule="exact"/>
        <w:ind w:left="640" w:firstLine="640" w:firstLineChars="200"/>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七、其他重要事项的说明</w:t>
      </w:r>
    </w:p>
    <w:p>
      <w:pPr>
        <w:widowControl/>
        <w:spacing w:after="160" w:line="580" w:lineRule="exact"/>
        <w:ind w:firstLine="640" w:firstLineChars="200"/>
        <w:rPr>
          <w:rFonts w:hint="default" w:ascii="Times New Roman" w:hAnsi="Times New Roman" w:eastAsia="仿宋_GB2312" w:cs="Times New Roman"/>
          <w:sz w:val="32"/>
          <w:szCs w:val="32"/>
          <w:lang w:val="en-US" w:eastAsia="zh-CN"/>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lang w:val="en-US" w:eastAsia="zh-CN"/>
        </w:rPr>
        <w:t xml:space="preserve">  </w:t>
      </w:r>
      <w:r>
        <w:rPr>
          <w:rFonts w:hint="eastAsia" w:ascii="Times New Roman" w:hAnsi="Times New Roman" w:eastAsia="黑体" w:cs="Times New Roman"/>
          <w:sz w:val="32"/>
          <w:szCs w:val="32"/>
          <w:lang w:eastAsia="zh-CN"/>
        </w:rPr>
        <w:t>名词解释</w:t>
      </w:r>
      <w:r>
        <w:rPr>
          <w:rFonts w:hint="eastAsia" w:ascii="Times New Roman" w:hAnsi="Times New Roman" w:eastAsia="黑体" w:cs="Times New Roman"/>
          <w:sz w:val="32"/>
          <w:szCs w:val="32"/>
        </w:rPr>
        <w:t xml:space="preserve">  </w:t>
      </w:r>
    </w:p>
    <w:p>
      <w:pPr>
        <w:widowControl/>
        <w:spacing w:after="160" w:line="580" w:lineRule="exact"/>
        <w:ind w:firstLine="640" w:firstLineChars="200"/>
        <w:rPr>
          <w:rFonts w:hint="eastAsia" w:ascii="Times New Roman" w:hAnsi="Times New Roman" w:eastAsia="黑体" w:cs="Times New Roman"/>
          <w:sz w:val="32"/>
          <w:szCs w:val="32"/>
          <w:lang w:val="en-US" w:eastAsia="zh-CN"/>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w:t>
      </w:r>
      <w:r>
        <w:rPr>
          <w:rFonts w:hint="eastAsia" w:ascii="Times New Roman" w:hAnsi="Times New Roman" w:eastAsia="黑体" w:cs="Times New Roman"/>
          <w:sz w:val="32"/>
          <w:szCs w:val="32"/>
          <w:lang w:eastAsia="zh-CN"/>
        </w:rPr>
        <w:t>报表</w:t>
      </w:r>
    </w:p>
    <w:p>
      <w:pPr>
        <w:widowControl/>
        <w:spacing w:after="160" w:line="580" w:lineRule="exact"/>
        <w:ind w:left="640" w:firstLine="640" w:firstLineChars="200"/>
        <w:rPr>
          <w:rFonts w:ascii="Times New Roman" w:hAnsi="Times New Roman" w:eastAsia="仿宋_GB2312" w:cs="Times New Roman"/>
          <w:sz w:val="32"/>
          <w:szCs w:val="32"/>
        </w:rPr>
      </w:pPr>
    </w:p>
    <w:p>
      <w:pPr>
        <w:widowControl/>
        <w:spacing w:after="160" w:line="580" w:lineRule="exact"/>
        <w:rPr>
          <w:rFonts w:ascii="Times New Roman" w:hAnsi="Times New Roman" w:eastAsia="黑体" w:cs="Times New Roman"/>
          <w:sz w:val="32"/>
          <w:szCs w:val="32"/>
        </w:rPr>
        <w:sectPr>
          <w:headerReference r:id="rId14" w:type="first"/>
          <w:footerReference r:id="rId16" w:type="first"/>
          <w:headerReference r:id="rId13" w:type="default"/>
          <w:footerReference r:id="rId15"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32"/>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根据《中共石家庄市鹿泉区委宣传部职能配置、内设机构和人员编制规定》，中共石家庄市鹿泉区委宣传部的主要职责是：</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（一）拟订全区宣传思想文化工作重大方针政策和事业发展总体规划，统筹协调推进宣传思想文化领域法治建设，按照区委统一部署，协调宣传思想文化系统各部门之间的工作。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（二）统筹协调全区党的意识形态工作，贯彻落实区委关于意识形态工作决策部署，组织协调意识形态工作责任制落实和日常监督检查。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（三）统筹指导协调全区理论研究、理论学习、理论宣传工作，组织推动理论武装工作，推动落实马克思主义理论研究和建设工程任务，负责区委理论学习中心组理论学习的有关工作。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（五）统筹分析研判和引导全区社会舆论，指导协调全区相关新闻单位的工作，组织全区突发公共事件应急新闻工作。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（七）从宏观上统筹指导协调全区互联网宣传和信息内容管理工作。统筹数字新媒体的建设和管理。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（八）从宏观上统筹指导协调推动全区精神文化产品的创作和生产，协调组织中华优秀传统文化传承发展有关工作，指导协调推动群众文化建设。</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（九）负责管理全区电影行政事务，指导监管电影制片、发行、放映工作，组织对电影内容进行审查，指导协调全区性重大电影活动。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（十）对全区新闻出版、广播影视、文化艺术业改革发展研究提出政策性建议，统筹指导协调文化体制改革和文化事业、文化产业及旅游业发展。承担区文化体制改革专项小组办公室日常工作。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（十一）统筹指导全区舆情信息工作，组织协调开展区内外舆情信息收集分析研判工作，跟踪了解、研究掌握宣传舆情动态。</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（十二）统筹研究拟订有关全区精神文明建设的方针、政策。规划部署全区精神文明建设工作，组织指导全区群众性精神文明创建活动。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（十三）统筹协调全区对外宣传工作。指导协调有关部门研究拟订全区对外宣传事业发展规划，组织协调我区对外宣传文化交流工作，会同有关部门做好境外记者采访事务方面工作。</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（十四）统筹协调组织开展新闻发布工作。承担区委新闻发布有关组织协调工作，负责区政府新闻发布组织实施工作。指导协调区政府各部门和各乡（镇、区）的新闻发布工作，推动新闻发言人制度落实。</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（十五）统筹指导协调全区哲学社会科学发展工作。组织制定发展战略、中长期规划和专项计划。负责社会科学课题申报和成果应用转化工作。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（十六）负责有关重要宣传舆论阵地和重要岗位领导干部管理工作。统筹组织开展宣传思想文化系统干部教育培训和人才工作。</w:t>
      </w:r>
    </w:p>
    <w:p>
      <w:pPr>
        <w:keepNext/>
        <w:keepLines/>
        <w:spacing w:line="580" w:lineRule="exact"/>
        <w:ind w:firstLine="640" w:firstLineChars="200"/>
        <w:jc w:val="left"/>
        <w:outlineLvl w:val="0"/>
        <w:rPr>
          <w:rFonts w:hint="eastAsia" w:ascii="黑体" w:hAnsi="Calibri" w:eastAsia="黑体" w:cs="黑体"/>
          <w:kern w:val="0"/>
          <w:sz w:val="32"/>
          <w:szCs w:val="32"/>
        </w:rPr>
      </w:pPr>
      <w:r>
        <w:rPr>
          <w:rFonts w:hint="eastAsia" w:ascii="黑体" w:hAnsi="Calibri" w:eastAsia="黑体" w:cs="黑体"/>
          <w:kern w:val="0"/>
          <w:sz w:val="32"/>
          <w:szCs w:val="32"/>
        </w:rPr>
        <w:t>二、机构设置</w:t>
      </w:r>
    </w:p>
    <w:p>
      <w:pPr>
        <w:keepNext/>
        <w:keepLines/>
        <w:spacing w:line="580" w:lineRule="exact"/>
        <w:ind w:firstLine="640" w:firstLineChars="200"/>
        <w:jc w:val="left"/>
        <w:outlineLvl w:val="0"/>
        <w:rPr>
          <w:rFonts w:hint="eastAsia" w:ascii="黑体" w:hAnsi="Calibri" w:eastAsia="黑体" w:cs="黑体"/>
          <w:kern w:val="0"/>
          <w:sz w:val="32"/>
          <w:szCs w:val="32"/>
        </w:rPr>
      </w:pPr>
      <w:r>
        <w:rPr>
          <w:rFonts w:hint="eastAsia" w:ascii="Times New Roman" w:hAnsi="Times New Roman" w:eastAsia="仿宋" w:cs="Times New Roman"/>
          <w:sz w:val="32"/>
          <w:szCs w:val="32"/>
        </w:rPr>
        <w:t>根据上述职责，</w:t>
      </w:r>
      <w:r>
        <w:rPr>
          <w:rFonts w:hint="eastAsia" w:ascii="Times New Roman" w:hAnsi="Times New Roman" w:eastAsia="仿宋" w:cs="Times New Roman"/>
          <w:sz w:val="32"/>
          <w:szCs w:val="32"/>
          <w:lang w:eastAsia="zh-CN"/>
        </w:rPr>
        <w:t>宣传部</w:t>
      </w:r>
      <w:r>
        <w:rPr>
          <w:rFonts w:hint="eastAsia" w:ascii="Times New Roman" w:hAnsi="Times New Roman" w:eastAsia="仿宋" w:cs="Times New Roman"/>
          <w:sz w:val="32"/>
          <w:szCs w:val="32"/>
          <w:lang w:val="en-US" w:eastAsia="zh-CN"/>
        </w:rPr>
        <w:t>内</w:t>
      </w:r>
      <w:r>
        <w:rPr>
          <w:rFonts w:hint="eastAsia" w:ascii="Times New Roman" w:hAnsi="Times New Roman" w:eastAsia="仿宋" w:cs="Times New Roman"/>
          <w:sz w:val="32"/>
          <w:szCs w:val="32"/>
        </w:rPr>
        <w:t>设办公室、</w:t>
      </w:r>
      <w:r>
        <w:rPr>
          <w:rFonts w:hint="eastAsia" w:ascii="Times New Roman" w:hAnsi="Times New Roman" w:eastAsia="仿宋" w:cs="Times New Roman"/>
          <w:sz w:val="32"/>
          <w:szCs w:val="32"/>
          <w:lang w:eastAsia="zh-CN"/>
        </w:rPr>
        <w:t>新闻</w:t>
      </w:r>
      <w:r>
        <w:rPr>
          <w:rFonts w:hint="eastAsia" w:ascii="Times New Roman" w:hAnsi="Times New Roman" w:eastAsia="仿宋" w:cs="Times New Roman"/>
          <w:sz w:val="32"/>
          <w:szCs w:val="32"/>
        </w:rPr>
        <w:t>科、</w:t>
      </w:r>
      <w:r>
        <w:rPr>
          <w:rFonts w:hint="eastAsia" w:ascii="Times New Roman" w:hAnsi="Times New Roman" w:eastAsia="仿宋" w:cs="Times New Roman"/>
          <w:sz w:val="32"/>
          <w:szCs w:val="32"/>
          <w:lang w:eastAsia="zh-CN"/>
        </w:rPr>
        <w:t>宣教科、国防教育办公室、新闻出版</w:t>
      </w:r>
      <w:r>
        <w:rPr>
          <w:rFonts w:hint="eastAsia" w:ascii="Times New Roman" w:hAnsi="Times New Roman" w:eastAsia="仿宋" w:cs="Times New Roman"/>
          <w:sz w:val="32"/>
          <w:szCs w:val="32"/>
          <w:lang w:val="en-US" w:eastAsia="zh-CN"/>
        </w:rPr>
        <w:t>版权</w:t>
      </w:r>
      <w:r>
        <w:rPr>
          <w:rFonts w:hint="eastAsia" w:ascii="Times New Roman" w:hAnsi="Times New Roman" w:eastAsia="仿宋" w:cs="Times New Roman"/>
          <w:sz w:val="32"/>
          <w:szCs w:val="32"/>
          <w:lang w:eastAsia="zh-CN"/>
        </w:rPr>
        <w:t>科（</w:t>
      </w:r>
      <w:r>
        <w:rPr>
          <w:rFonts w:hint="eastAsia" w:ascii="Times New Roman" w:hAnsi="Times New Roman" w:eastAsia="仿宋" w:cs="Times New Roman"/>
          <w:sz w:val="32"/>
          <w:szCs w:val="32"/>
          <w:lang w:val="en-US" w:eastAsia="zh-CN"/>
        </w:rPr>
        <w:t>区“扫黄打非”办公室</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精神</w:t>
      </w:r>
      <w:r>
        <w:rPr>
          <w:rFonts w:hint="eastAsia" w:ascii="Times New Roman" w:hAnsi="Times New Roman" w:eastAsia="仿宋" w:cs="Times New Roman"/>
          <w:sz w:val="32"/>
          <w:szCs w:val="32"/>
          <w:lang w:eastAsia="zh-CN"/>
        </w:rPr>
        <w:t>文明</w:t>
      </w:r>
      <w:r>
        <w:rPr>
          <w:rFonts w:hint="eastAsia" w:ascii="Times New Roman" w:hAnsi="Times New Roman" w:eastAsia="仿宋" w:cs="Times New Roman"/>
          <w:sz w:val="32"/>
          <w:szCs w:val="32"/>
          <w:lang w:val="en-US" w:eastAsia="zh-CN"/>
        </w:rPr>
        <w:t>建设科6</w:t>
      </w:r>
      <w:r>
        <w:rPr>
          <w:rFonts w:hint="eastAsia" w:ascii="Times New Roman" w:hAnsi="Times New Roman" w:eastAsia="仿宋" w:cs="Times New Roman"/>
          <w:sz w:val="32"/>
          <w:szCs w:val="32"/>
        </w:rPr>
        <w:t>个内设</w:t>
      </w:r>
      <w:r>
        <w:rPr>
          <w:rFonts w:hint="eastAsia" w:ascii="Times New Roman" w:hAnsi="Times New Roman" w:eastAsia="仿宋" w:cs="Times New Roman"/>
          <w:sz w:val="32"/>
          <w:szCs w:val="32"/>
          <w:lang w:val="en-US" w:eastAsia="zh-CN"/>
        </w:rPr>
        <w:t>机构</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加挂区精神文明建设委员会办公室、区政府新闻办公室、区新闻出版局（区版权局）牌子，下属单位有石家庄市鹿泉区电影发行放映公司，自收自支事业单位，经费自理。</w:t>
      </w:r>
      <w:r>
        <w:rPr>
          <w:rFonts w:hint="eastAsia" w:ascii="Times New Roman" w:hAnsi="Times New Roman" w:eastAsia="仿宋" w:cs="Times New Roman"/>
          <w:sz w:val="32"/>
          <w:szCs w:val="32"/>
        </w:rPr>
        <w:t>办公室负责文秘、机构编制、</w:t>
      </w:r>
      <w:r>
        <w:rPr>
          <w:rFonts w:hint="eastAsia" w:ascii="Times New Roman" w:hAnsi="Times New Roman" w:eastAsia="仿宋" w:cs="Times New Roman"/>
          <w:sz w:val="32"/>
          <w:szCs w:val="32"/>
          <w:lang w:val="en-US" w:eastAsia="zh-CN"/>
        </w:rPr>
        <w:t>财务、</w:t>
      </w:r>
      <w:r>
        <w:rPr>
          <w:rFonts w:hint="eastAsia" w:ascii="Times New Roman" w:hAnsi="Times New Roman" w:eastAsia="仿宋" w:cs="Times New Roman"/>
          <w:sz w:val="32"/>
          <w:szCs w:val="32"/>
        </w:rPr>
        <w:t>人事劳资等工作；</w:t>
      </w:r>
      <w:r>
        <w:rPr>
          <w:rFonts w:hint="eastAsia" w:ascii="Times New Roman" w:hAnsi="Times New Roman" w:eastAsia="仿宋" w:cs="Times New Roman"/>
          <w:sz w:val="32"/>
          <w:szCs w:val="32"/>
          <w:lang w:eastAsia="zh-CN"/>
        </w:rPr>
        <w:t>新闻科负责掌握正确舆论导向和对上宣传报道等；宣教科负责全区党员理论教育、思想政治工作规划与部署组织各类宣传教育活动、理论研究、学习、辅导等工作；新闻出版版权科，负责</w:t>
      </w:r>
      <w:r>
        <w:rPr>
          <w:rFonts w:hint="eastAsia" w:ascii="Times New Roman" w:hAnsi="Times New Roman" w:eastAsia="仿宋" w:cs="Times New Roman"/>
          <w:sz w:val="32"/>
          <w:szCs w:val="32"/>
          <w:lang w:val="en-US" w:eastAsia="zh-CN"/>
        </w:rPr>
        <w:t>全区新闻出版业的管理政策并督促落实，管理新闻出版行政事务，统筹规划和指导协调新闻出版事业、产业发展，监督管理出版物内容和质量；国防教育办公室，负责组织和指导全区国防教育工作；精神文明建设科，负责全区精神文明创建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367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79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67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中共石家庄市鹿泉区委宣传部</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67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9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67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79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67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9" w:type="first"/>
          <w:headerReference r:id="rId17" w:type="default"/>
          <w:footerReference r:id="rId18"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20"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257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257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年初结转和结余</w:t>
      </w:r>
      <w:r>
        <w:rPr>
          <w:rFonts w:hint="eastAsia" w:ascii="仿宋_GB2312" w:hAnsi="Times New Roman" w:eastAsia="仿宋_GB2312" w:cs="DengXian-Regular"/>
          <w:sz w:val="32"/>
          <w:szCs w:val="32"/>
          <w:lang w:val="en-US" w:eastAsia="zh-CN"/>
        </w:rPr>
        <w:t>32.07万元，本年收入3755.17万元，本年支出3753.16万元，用事业基金弥补收支差额0万元，结余分配0万元，年末结转和结余34.08万元</w:t>
      </w:r>
      <w:r>
        <w:rPr>
          <w:rFonts w:hint="eastAsia" w:ascii="仿宋_GB2312" w:hAnsi="Times New Roman" w:eastAsia="仿宋_GB2312" w:cs="DengXian-Regular"/>
          <w:sz w:val="32"/>
          <w:szCs w:val="32"/>
        </w:rPr>
        <w:t>。与2018年度决算相比，收</w:t>
      </w:r>
      <w:r>
        <w:rPr>
          <w:rFonts w:hint="eastAsia" w:ascii="仿宋_GB2312" w:hAnsi="Times New Roman" w:eastAsia="仿宋_GB2312" w:cs="DengXian-Regular"/>
          <w:sz w:val="32"/>
          <w:szCs w:val="32"/>
          <w:lang w:eastAsia="zh-CN"/>
        </w:rPr>
        <w:t>入减少</w:t>
      </w:r>
      <w:r>
        <w:rPr>
          <w:rFonts w:hint="eastAsia" w:ascii="仿宋_GB2312" w:hAnsi="Times New Roman" w:eastAsia="仿宋_GB2312" w:cs="DengXian-Regular"/>
          <w:sz w:val="32"/>
          <w:szCs w:val="32"/>
          <w:lang w:val="en-US" w:eastAsia="zh-CN"/>
        </w:rPr>
        <w:t>2585.64万元，下降40.78%，主要原因是减少旅发大会项目资金。支出减少2577.40</w:t>
      </w:r>
      <w:r>
        <w:rPr>
          <w:rFonts w:hint="eastAsia" w:ascii="仿宋_GB2312" w:hAnsi="Times New Roman" w:eastAsia="仿宋_GB2312" w:cs="DengXian-Regular"/>
          <w:sz w:val="32"/>
          <w:szCs w:val="32"/>
        </w:rPr>
        <w:t>万元，下降</w:t>
      </w:r>
      <w:r>
        <w:rPr>
          <w:rFonts w:hint="eastAsia" w:ascii="仿宋_GB2312" w:hAnsi="Times New Roman" w:eastAsia="仿宋_GB2312" w:cs="DengXian-Regular"/>
          <w:sz w:val="32"/>
          <w:szCs w:val="32"/>
          <w:lang w:val="en-US" w:eastAsia="zh-CN"/>
        </w:rPr>
        <w:t>40.71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减少旅发大会项目资金</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3755.17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3728.81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99.30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26.37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0.70</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1552" behindDoc="0" locked="0" layoutInCell="1" allowOverlap="1">
                <wp:simplePos x="0" y="0"/>
                <wp:positionH relativeFrom="column">
                  <wp:posOffset>1784350</wp:posOffset>
                </wp:positionH>
                <wp:positionV relativeFrom="paragraph">
                  <wp:posOffset>309880</wp:posOffset>
                </wp:positionV>
                <wp:extent cx="2742565" cy="533400"/>
                <wp:effectExtent l="0" t="0" r="635" b="0"/>
                <wp:wrapNone/>
                <wp:docPr id="155" name="文本框 32"/>
                <wp:cNvGraphicFramePr/>
                <a:graphic xmlns:a="http://schemas.openxmlformats.org/drawingml/2006/main">
                  <a:graphicData uri="http://schemas.microsoft.com/office/word/2010/wordprocessingShape">
                    <wps:wsp>
                      <wps:cNvSpPr txBox="1"/>
                      <wps:spPr>
                        <a:xfrm>
                          <a:off x="2498090" y="8272780"/>
                          <a:ext cx="2742565" cy="53340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40.5pt;margin-top:24.4pt;height:42pt;width:215.95pt;z-index:251671552;mso-width-relative:page;mso-height-relative:page;" fillcolor="#FFFFFF" filled="t" stroked="f" coordsize="21600,21600" o:gfxdata="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TrqJc1QAAAAoBAAAPAAAAAAAAAAEAIAAA&#10;ACIAAABkcnMvZG93bnJldi54bWxQSwECFAAUAAAACACHTuJAhP2wsEgCAABeBAAADgAAAAAAAAAB&#10;ACAAAAAkAQAAZHJzL2Uyb0RvYy54bWxQSwUGAAAAAAYABgBZAQAA3gU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rPr>
          <w:rFonts w:hint="eastAsia" w:eastAsiaTheme="minorEastAsia"/>
          <w:lang w:eastAsia="zh-CN"/>
        </w:rPr>
        <w:drawing>
          <wp:anchor distT="0" distB="0" distL="114300" distR="114300" simplePos="0" relativeHeight="251676672" behindDoc="1" locked="0" layoutInCell="1" allowOverlap="1">
            <wp:simplePos x="0" y="0"/>
            <wp:positionH relativeFrom="column">
              <wp:posOffset>528320</wp:posOffset>
            </wp:positionH>
            <wp:positionV relativeFrom="page">
              <wp:posOffset>7603490</wp:posOffset>
            </wp:positionV>
            <wp:extent cx="5080000" cy="2581910"/>
            <wp:effectExtent l="4445" t="4445" r="20955" b="23495"/>
            <wp:wrapThrough wrapText="bothSides">
              <wp:wrapPolygon>
                <wp:start x="-19" y="-37"/>
                <wp:lineTo x="-19" y="21478"/>
                <wp:lineTo x="21527" y="21478"/>
                <wp:lineTo x="21527" y="-37"/>
                <wp:lineTo x="-19" y="-37"/>
              </wp:wrapPolygon>
            </wp:wrapThrough>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3753.16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470.48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12.54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3282.68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87.46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1260" w:firstLineChars="600"/>
        <w:rPr>
          <w:rFonts w:ascii="仿宋_GB2312" w:hAnsi="Times New Roman" w:eastAsia="仿宋_GB2312" w:cs="DengXian-Regular"/>
          <w:sz w:val="32"/>
          <w:szCs w:val="32"/>
        </w:rPr>
      </w:pPr>
      <w:r>
        <w:rPr>
          <w:rFonts w:hint="eastAsia" w:eastAsiaTheme="minorEastAsia"/>
          <w:lang w:eastAsia="zh-CN"/>
        </w:rPr>
        <w:drawing>
          <wp:anchor distT="0" distB="0" distL="114300" distR="114300" simplePos="0" relativeHeight="251677696" behindDoc="1" locked="0" layoutInCell="1" allowOverlap="1">
            <wp:simplePos x="0" y="0"/>
            <wp:positionH relativeFrom="column">
              <wp:posOffset>269240</wp:posOffset>
            </wp:positionH>
            <wp:positionV relativeFrom="page">
              <wp:posOffset>3423285</wp:posOffset>
            </wp:positionV>
            <wp:extent cx="5080000" cy="3810000"/>
            <wp:effectExtent l="4445" t="4445" r="20955" b="14605"/>
            <wp:wrapThrough wrapText="bothSides">
              <wp:wrapPolygon>
                <wp:start x="-19" y="-25"/>
                <wp:lineTo x="-19" y="21575"/>
                <wp:lineTo x="21527" y="21575"/>
                <wp:lineTo x="21527" y="-25"/>
                <wp:lineTo x="-19" y="-25"/>
              </wp:wrapPolygon>
            </wp:wrapThrough>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998220</wp:posOffset>
                </wp:positionH>
                <wp:positionV relativeFrom="paragraph">
                  <wp:posOffset>88900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2006600" y="473583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6pt;margin-top:7pt;height:38.05pt;width:260.95pt;z-index:-251645952;mso-width-relative:page;mso-height-relative:page;" fillcolor="#FFFFFF" filled="t" stroked="f" coordsize="21600,21600" o:gfxdata="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Ir3PMNMAAAAJAQAADwAAAAAAAAABACAAAAAiAAAA&#10;ZHJzL2Rvd25yZXYueG1sUEsBAhQAFAAAAAgAh07iQNljCUJFAgAAXQQAAA4AAAAAAAAAAQAgAAAA&#10;IgEAAGRycy9lMm9Eb2MueG1sUEsFBgAAAAAGAAYAWQEAANkFAAAAAA==&#10;">
                <v:fill on="t" focussize="0,0"/>
                <v:stroke on="f" weight="0.5pt"/>
                <v:imagedata o:title=""/>
                <o:lock v:ext="edit" aspectratio="f"/>
                <v:textbox>
                  <w:txbxContent>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321" w:firstLineChars="1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本部门2019年度形成的财政拨款收支均为一般公共预算财政拨款，其中一般公共预算财政拨款</w:t>
      </w:r>
      <w:r>
        <w:rPr>
          <w:rFonts w:hint="eastAsia" w:ascii="仿宋_GB2312" w:hAnsi="Times New Roman" w:eastAsia="仿宋_GB2312" w:cs="DengXian-Regular"/>
          <w:sz w:val="32"/>
          <w:szCs w:val="32"/>
          <w:lang w:eastAsia="zh-CN"/>
        </w:rPr>
        <w:t>年初数</w:t>
      </w:r>
      <w:r>
        <w:rPr>
          <w:rFonts w:hint="eastAsia" w:ascii="仿宋_GB2312" w:hAnsi="Times New Roman" w:eastAsia="仿宋_GB2312" w:cs="DengXian-Regular"/>
          <w:sz w:val="32"/>
          <w:szCs w:val="32"/>
          <w:lang w:val="en-US" w:eastAsia="zh-CN"/>
        </w:rPr>
        <w:t>32.07，</w:t>
      </w:r>
      <w:r>
        <w:rPr>
          <w:rFonts w:hint="eastAsia" w:ascii="仿宋_GB2312" w:hAnsi="Times New Roman" w:eastAsia="仿宋_GB2312" w:cs="DengXian-Regular"/>
          <w:sz w:val="32"/>
          <w:szCs w:val="32"/>
        </w:rPr>
        <w:t>本年收入</w:t>
      </w:r>
      <w:r>
        <w:rPr>
          <w:rFonts w:hint="eastAsia" w:ascii="仿宋_GB2312" w:hAnsi="Times New Roman" w:eastAsia="仿宋_GB2312" w:cs="DengXian-Regular"/>
          <w:sz w:val="32"/>
          <w:szCs w:val="32"/>
          <w:lang w:val="en-US" w:eastAsia="zh-CN"/>
        </w:rPr>
        <w:t>3728.81</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1097.90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减少旅发大会项目资金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3726.79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年末结转和结余</w:t>
      </w:r>
      <w:r>
        <w:rPr>
          <w:rFonts w:hint="eastAsia" w:ascii="仿宋_GB2312" w:hAnsi="Times New Roman" w:eastAsia="仿宋_GB2312" w:cs="DengXian-Regular"/>
          <w:sz w:val="32"/>
          <w:szCs w:val="32"/>
          <w:lang w:val="en-US" w:eastAsia="zh-CN"/>
        </w:rPr>
        <w:t>34.08万元，</w:t>
      </w:r>
      <w:r>
        <w:rPr>
          <w:rFonts w:hint="eastAsia" w:ascii="仿宋_GB2312" w:hAnsi="Times New Roman" w:eastAsia="仿宋_GB2312" w:cs="DengXian-Regular"/>
          <w:sz w:val="32"/>
          <w:szCs w:val="32"/>
        </w:rPr>
        <w:t>减少</w:t>
      </w:r>
      <w:r>
        <w:rPr>
          <w:rFonts w:hint="eastAsia" w:ascii="仿宋_GB2312" w:hAnsi="Times New Roman" w:eastAsia="仿宋_GB2312" w:cs="DengXian-Regular"/>
          <w:sz w:val="32"/>
          <w:szCs w:val="32"/>
          <w:lang w:val="en-US" w:eastAsia="zh-CN"/>
        </w:rPr>
        <w:t>1089.67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22.62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减少旅发大会项目资金</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lang w:eastAsia="zh-CN"/>
        </w:rPr>
        <w:t>所示：</w:t>
      </w:r>
    </w:p>
    <w:p>
      <w:pPr>
        <w:adjustRightInd w:val="0"/>
        <w:snapToGrid w:val="0"/>
        <w:spacing w:line="580" w:lineRule="exact"/>
        <w:ind w:firstLine="1280" w:firstLineChars="4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eastAsia="zh-CN"/>
        </w:rPr>
        <w:t>图</w:t>
      </w:r>
      <w:r>
        <w:rPr>
          <w:rFonts w:hint="eastAsia" w:ascii="仿宋_GB2312" w:hAnsi="Times New Roman" w:eastAsia="仿宋_GB2312" w:cs="DengXian-Regular"/>
          <w:sz w:val="32"/>
          <w:szCs w:val="32"/>
          <w:lang w:val="en-US" w:eastAsia="zh-CN"/>
        </w:rPr>
        <w:t>3： 2018-2019年财政拨款收支情况表</w:t>
      </w:r>
    </w:p>
    <w:p>
      <w:pPr>
        <w:adjustRightInd w:val="0"/>
        <w:snapToGrid w:val="0"/>
        <w:spacing w:line="580" w:lineRule="exact"/>
        <w:rPr>
          <w:rFonts w:hint="eastAsia" w:eastAsia="宋体"/>
          <w:lang w:eastAsia="zh-CN"/>
        </w:rPr>
      </w:pPr>
      <w:r>
        <w:rPr>
          <w:rFonts w:hint="eastAsia" w:eastAsia="宋体"/>
          <w:lang w:eastAsia="zh-CN"/>
        </w:rPr>
        <w:pict>
          <v:shape id="_x0000_s1026" o:spid="_x0000_s1026" o:spt="75" type="#_x0000_t75" style="position:absolute;left:0pt;margin-left:10.75pt;margin-top:3.5pt;height:458.75pt;width:425pt;mso-wrap-distance-bottom:0pt;mso-wrap-distance-left:9pt;mso-wrap-distance-right:9pt;mso-wrap-distance-top:0pt;z-index:251681792;mso-width-relative:page;mso-height-relative:page;" o:ole="t" filled="f" o:preferrelative="t" stroked="f" coordsize="21600,21600" o:gfxdata="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">
            <v:path/>
            <v:fill on="f" focussize="0,0"/>
            <v:stroke on="f"/>
            <v:imagedata r:id="rId36" o:title=""/>
            <o:lock v:ext="edit" aspectratio="t"/>
            <w10:wrap type="square"/>
          </v:shape>
          <o:OLEObject Type="Embed" ProgID="excel.sheet.8" ShapeID="_x0000_s1026" DrawAspect="Content" ObjectID="_1468075725" r:id="rId35">
            <o:LockedField>false</o:LockedField>
          </o:OLEObject>
        </w:pic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一般公共预算</w:t>
      </w:r>
      <w:r>
        <w:rPr>
          <w:rFonts w:hint="eastAsia" w:ascii="仿宋_GB2312" w:hAnsi="Times New Roman" w:eastAsia="仿宋_GB2312" w:cs="DengXian-Regular"/>
          <w:sz w:val="32"/>
          <w:szCs w:val="32"/>
        </w:rPr>
        <w:t>财政拨款收入</w:t>
      </w:r>
      <w:r>
        <w:rPr>
          <w:rFonts w:hint="eastAsia" w:ascii="仿宋_GB2312" w:hAnsi="Times New Roman" w:eastAsia="仿宋_GB2312" w:cs="DengXian-Regular"/>
          <w:sz w:val="32"/>
          <w:szCs w:val="32"/>
          <w:lang w:val="en-US" w:eastAsia="zh-CN"/>
        </w:rPr>
        <w:t>3728.81</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111.08</w:t>
      </w:r>
      <w:r>
        <w:rPr>
          <w:rFonts w:hint="eastAsia" w:ascii="仿宋_GB2312" w:hAnsi="Times New Roman" w:eastAsia="仿宋_GB2312" w:cs="DengXian-Regular"/>
          <w:sz w:val="32"/>
          <w:szCs w:val="32"/>
        </w:rPr>
        <w:t>%（如图4）,比年初预算增加</w:t>
      </w:r>
      <w:r>
        <w:rPr>
          <w:rFonts w:hint="eastAsia" w:ascii="仿宋_GB2312" w:hAnsi="Times New Roman" w:eastAsia="仿宋_GB2312" w:cs="DengXian-Regular"/>
          <w:sz w:val="32"/>
          <w:szCs w:val="32"/>
          <w:lang w:val="en-US" w:eastAsia="zh-CN"/>
        </w:rPr>
        <w:t>372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机构改革原国教办、文明办政府职能划转宣传部</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3726.79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111.02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369.98</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机构改革原国教办、文明办政府职能划转宣传部</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1600" w:firstLineChars="5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图4：财政拨款收支预决算对比情况</w:t>
      </w:r>
    </w:p>
    <w:p>
      <w:pPr>
        <w:adjustRightInd w:val="0"/>
        <w:snapToGrid w:val="0"/>
        <w:spacing w:line="580" w:lineRule="exac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lang w:eastAsia="zh-CN"/>
        </w:rPr>
        <w:drawing>
          <wp:anchor distT="0" distB="0" distL="114300" distR="114300" simplePos="0" relativeHeight="251681792" behindDoc="0" locked="0" layoutInCell="1" allowOverlap="1">
            <wp:simplePos x="0" y="0"/>
            <wp:positionH relativeFrom="column">
              <wp:posOffset>-38735</wp:posOffset>
            </wp:positionH>
            <wp:positionV relativeFrom="paragraph">
              <wp:posOffset>465455</wp:posOffset>
            </wp:positionV>
            <wp:extent cx="5762625" cy="4155440"/>
            <wp:effectExtent l="5080" t="4445" r="4445" b="12065"/>
            <wp:wrapSquare wrapText="bothSides"/>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3726.79</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1099.21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29.49</w:t>
      </w:r>
      <w:r>
        <w:rPr>
          <w:rFonts w:hint="eastAsia" w:ascii="仿宋_GB2312" w:hAnsi="Times New Roman" w:eastAsia="仿宋_GB2312" w:cs="DengXian-Regular"/>
          <w:sz w:val="32"/>
          <w:szCs w:val="32"/>
        </w:rPr>
        <w:t>%，；公共安全类（类）支出</w:t>
      </w:r>
      <w:r>
        <w:rPr>
          <w:rFonts w:hint="eastAsia" w:ascii="仿宋_GB2312" w:hAnsi="Times New Roman" w:eastAsia="仿宋_GB2312" w:cs="DengXian-Regular"/>
          <w:sz w:val="32"/>
          <w:szCs w:val="32"/>
          <w:lang w:val="en-US" w:eastAsia="zh-CN"/>
        </w:rPr>
        <w:t>64.11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文化旅游体育与传媒支出</w:t>
      </w:r>
      <w:r>
        <w:rPr>
          <w:rFonts w:hint="eastAsia" w:ascii="仿宋_GB2312" w:hAnsi="Times New Roman" w:eastAsia="仿宋_GB2312" w:cs="DengXian-Regular"/>
          <w:sz w:val="32"/>
          <w:szCs w:val="32"/>
          <w:lang w:val="en-US" w:eastAsia="zh-CN"/>
        </w:rPr>
        <w:t>2495.18万元，占66.95%；</w:t>
      </w:r>
      <w:r>
        <w:rPr>
          <w:rFonts w:hint="eastAsia" w:ascii="仿宋_GB2312" w:hAnsi="Times New Roman" w:eastAsia="仿宋_GB2312" w:cs="DengXian-Regular"/>
          <w:sz w:val="32"/>
          <w:szCs w:val="32"/>
        </w:rPr>
        <w:t>社会保障和就业（类）出</w:t>
      </w:r>
      <w:r>
        <w:rPr>
          <w:rFonts w:hint="eastAsia" w:ascii="仿宋_GB2312" w:hAnsi="Times New Roman" w:eastAsia="仿宋_GB2312" w:cs="DengXian-Regular"/>
          <w:sz w:val="32"/>
          <w:szCs w:val="32"/>
          <w:lang w:val="en-US" w:eastAsia="zh-CN"/>
        </w:rPr>
        <w:t>35.29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0.95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19.37万元，占0.52%；</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13.64</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0.37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w:t>
      </w:r>
      <w:r>
        <w:rPr>
          <w:rFonts w:hint="eastAsia" w:ascii="仿宋_GB2312" w:hAnsi="Times New Roman" w:eastAsia="仿宋_GB2312" w:cs="DengXian-Regular"/>
          <w:sz w:val="32"/>
          <w:szCs w:val="32"/>
          <w:lang w:val="en-US" w:eastAsia="zh-CN"/>
        </w:rPr>
        <w:t>5所示：</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firstLine="1928" w:firstLineChars="600"/>
        <w:rPr>
          <w:rFonts w:hint="default" w:ascii="楷体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lang w:eastAsia="zh-CN"/>
        </w:rPr>
        <w:t>图</w:t>
      </w:r>
      <w:r>
        <w:rPr>
          <w:rFonts w:hint="eastAsia" w:ascii="楷体_GB2312" w:hAnsi="Times New Roman" w:eastAsia="楷体_GB2312" w:cs="DengXian-Bold"/>
          <w:b/>
          <w:bCs/>
          <w:sz w:val="32"/>
          <w:szCs w:val="32"/>
          <w:lang w:val="en-US" w:eastAsia="zh-CN"/>
        </w:rPr>
        <w:t>5：财政拨款支出决算结构图</w:t>
      </w:r>
    </w:p>
    <w:p>
      <w:pPr>
        <w:adjustRightInd w:val="0"/>
        <w:snapToGrid w:val="0"/>
        <w:spacing w:line="580" w:lineRule="exact"/>
        <w:rPr>
          <w:rFonts w:ascii="楷体_GB2312" w:hAnsi="Times New Roman" w:eastAsia="楷体_GB2312" w:cs="DengXian-Bold"/>
          <w:b/>
          <w:bCs/>
          <w:sz w:val="32"/>
          <w:szCs w:val="32"/>
        </w:rPr>
      </w:pPr>
      <w:r>
        <w:rPr>
          <w:rFonts w:hint="eastAsia" w:eastAsiaTheme="minorEastAsia"/>
          <w:lang w:eastAsia="zh-CN"/>
        </w:rPr>
        <w:drawing>
          <wp:anchor distT="0" distB="0" distL="114300" distR="114300" simplePos="0" relativeHeight="251680768" behindDoc="1" locked="0" layoutInCell="1" allowOverlap="1">
            <wp:simplePos x="0" y="0"/>
            <wp:positionH relativeFrom="column">
              <wp:posOffset>-18415</wp:posOffset>
            </wp:positionH>
            <wp:positionV relativeFrom="page">
              <wp:posOffset>5095240</wp:posOffset>
            </wp:positionV>
            <wp:extent cx="5573395" cy="3817620"/>
            <wp:effectExtent l="4445" t="4445" r="22860" b="6985"/>
            <wp:wrapThrough wrapText="bothSides">
              <wp:wrapPolygon>
                <wp:start x="-17" y="-25"/>
                <wp:lineTo x="-17" y="21532"/>
                <wp:lineTo x="21541" y="21532"/>
                <wp:lineTo x="21541" y="-25"/>
                <wp:lineTo x="-17" y="-25"/>
              </wp:wrapPolygon>
            </wp:wrapThrough>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470.48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420.54</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49.94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1.96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26.49</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5.44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73.51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0.35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1.96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本部门2019度公务用车购置及运行维护费较预算减少</w:t>
      </w:r>
      <w:r>
        <w:rPr>
          <w:rFonts w:hint="eastAsia" w:ascii="仿宋_GB2312" w:hAnsi="Times New Roman" w:eastAsia="仿宋_GB2312" w:cs="DengXian-Regular"/>
          <w:sz w:val="32"/>
          <w:szCs w:val="32"/>
          <w:lang w:val="en-US" w:eastAsia="zh-CN"/>
        </w:rPr>
        <w:t>3.44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63.70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0.35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eastAsia" w:ascii="仿宋_GB2312" w:hAnsi="Times New Roman" w:eastAsia="仿宋_GB2312" w:cs="DengXian-Regular"/>
          <w:color w:val="000000"/>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公务用车购置</w:t>
      </w:r>
      <w:r>
        <w:rPr>
          <w:rFonts w:hint="eastAsia" w:ascii="仿宋_GB2312" w:hAnsi="Times New Roman" w:eastAsia="仿宋_GB2312" w:cs="DengXian-Regular"/>
          <w:sz w:val="32"/>
          <w:szCs w:val="32"/>
          <w:lang w:eastAsia="zh-CN"/>
        </w:rPr>
        <w:t>’经费支出”。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3.44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63.70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0.35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15.15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因机构改革公车调拨减少费用</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highlight w:val="yellow"/>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eastAsia="仿宋_GB2312"/>
          <w:sz w:val="32"/>
          <w:szCs w:val="32"/>
          <w:lang w:val="en-US" w:eastAsia="zh-CN"/>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hAnsi="仿宋_GB2312" w:eastAsia="仿宋_GB2312" w:cs="仿宋_GB2312"/>
          <w:sz w:val="32"/>
          <w:szCs w:val="32"/>
          <w:lang w:eastAsia="zh-CN"/>
        </w:rPr>
        <w:t>涉及</w:t>
      </w:r>
      <w:r>
        <w:rPr>
          <w:rFonts w:hint="eastAsia" w:ascii="仿宋_GB2312" w:eastAsia="仿宋_GB2312"/>
          <w:sz w:val="32"/>
          <w:szCs w:val="32"/>
          <w:lang w:val="en-US" w:eastAsia="zh-CN"/>
        </w:rPr>
        <w:t>党教经费、党的十九大宣传工作经费、石家庄日报专版费、宣传费、物媒服务体系项目、荣臻小学纪念馆展馆展陈项目质保金、爱国主义教育基地管护费、网群建设费、区委中心组理论学习费、践行社会主义核心价值观公益宣传、创城雕塑、公益广告招投标项目工程尾款、未成年人思想道德建设工作经费、志愿服务活动工作经费、公益广告维护制作费、精神文明建设费用、精神文明常态化创建经费、进一步提升城区宣传阵地项目、省旅发大会宣传氛围营造工作经费、中华人民共和国成立70周年纪念活动经费、会议接待费、旅发大会实景剧演出及场地建设费用、文化产业发展及文艺团体扶持资金、省旅发大会及国际啤酒节等大型活动媒体宣传项目经费、中国报纸副刊协会举办中国百名文化记者看鹿泉活动经费、退役军人公益性</w:t>
      </w:r>
      <w:bookmarkStart w:id="0" w:name="_GoBack"/>
      <w:bookmarkEnd w:id="0"/>
      <w:r>
        <w:rPr>
          <w:rFonts w:hint="eastAsia" w:ascii="仿宋_GB2312" w:eastAsia="仿宋_GB2312"/>
          <w:sz w:val="32"/>
          <w:szCs w:val="32"/>
          <w:lang w:val="en-US" w:eastAsia="zh-CN"/>
        </w:rPr>
        <w:t>岗位工资等25个项目，涉及资金3191.40万元。。</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评价结果是</w:t>
      </w:r>
      <w:r>
        <w:rPr>
          <w:rFonts w:hint="eastAsia" w:ascii="仿宋_GB2312" w:hAnsi="仿宋_GB2312" w:eastAsia="仿宋_GB2312" w:cs="仿宋_GB2312"/>
          <w:sz w:val="32"/>
          <w:szCs w:val="32"/>
          <w:lang w:val="en-US" w:eastAsia="zh-CN"/>
        </w:rPr>
        <w:t>25个项目全部优秀</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rPr>
        <w:t>本部门在今年</w:t>
      </w:r>
      <w:r>
        <w:rPr>
          <w:rFonts w:hint="eastAsia" w:ascii="仿宋_GB2312" w:hAnsi="仿宋_GB2312" w:eastAsia="仿宋_GB2312" w:cs="仿宋_GB2312"/>
          <w:sz w:val="32"/>
          <w:szCs w:val="32"/>
          <w:lang w:eastAsia="zh-CN"/>
        </w:rPr>
        <w:t>绩效自评中</w:t>
      </w:r>
      <w:r>
        <w:rPr>
          <w:rFonts w:hint="eastAsia" w:ascii="仿宋_GB2312" w:hAnsi="仿宋_GB2312" w:eastAsia="仿宋_GB2312" w:cs="仿宋_GB2312"/>
          <w:sz w:val="32"/>
          <w:szCs w:val="32"/>
          <w:lang w:val="en-US" w:eastAsia="zh-CN"/>
        </w:rPr>
        <w:t>25个绩效项目全部优秀。</w:t>
      </w:r>
      <w:r>
        <w:rPr>
          <w:rFonts w:hint="eastAsia" w:ascii="仿宋_GB2312" w:eastAsia="仿宋_GB2312"/>
          <w:sz w:val="32"/>
          <w:szCs w:val="32"/>
          <w:lang w:val="en-US" w:eastAsia="zh-CN"/>
        </w:rPr>
        <w:t>财政总预算数3260.95万元，实际支出3191.40万元，</w:t>
      </w:r>
      <w:r>
        <w:rPr>
          <w:rFonts w:hint="eastAsia" w:ascii="仿宋_GB2312" w:eastAsia="仿宋_GB2312"/>
          <w:sz w:val="32"/>
          <w:szCs w:val="32"/>
          <w:lang w:eastAsia="zh-CN"/>
        </w:rPr>
        <w:t>所有</w:t>
      </w:r>
      <w:r>
        <w:rPr>
          <w:rFonts w:hint="eastAsia" w:ascii="仿宋_GB2312" w:eastAsia="仿宋_GB2312"/>
          <w:sz w:val="32"/>
          <w:szCs w:val="32"/>
        </w:rPr>
        <w:t>项目</w:t>
      </w:r>
      <w:r>
        <w:rPr>
          <w:rFonts w:hint="eastAsia" w:ascii="仿宋_GB2312" w:eastAsia="仿宋_GB2312"/>
          <w:sz w:val="32"/>
          <w:szCs w:val="32"/>
          <w:lang w:eastAsia="zh-CN"/>
        </w:rPr>
        <w:t>按照投入、过程、产出和效果等绩效指标按照规定的程序申请设立，事前已经经过必要的可行性研究，并经部务会集体研究上报。管理制度健全、项目实施符合业务管理规定、资料齐全并及时归档、采取了相应的项目质量检查和验收手段，资金拨付有完整的审批程序和手续、执行内部审计监控机制。按照完成率、及时率和达标率进行预期</w:t>
      </w:r>
      <w:r>
        <w:rPr>
          <w:rFonts w:hint="eastAsia" w:ascii="仿宋_GB2312" w:eastAsia="仿宋_GB2312"/>
          <w:sz w:val="32"/>
          <w:szCs w:val="32"/>
        </w:rPr>
        <w:t>绩效</w:t>
      </w:r>
      <w:r>
        <w:rPr>
          <w:rFonts w:hint="eastAsia" w:ascii="仿宋_GB2312" w:eastAsia="仿宋_GB2312"/>
          <w:sz w:val="32"/>
          <w:szCs w:val="32"/>
          <w:lang w:eastAsia="zh-CN"/>
        </w:rPr>
        <w:t>指标。按照对鹿泉的整体宣传、推介作为社会效益，同时通过问卷调查的方式测评服务对象的满意程度。</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49.55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31.43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173.45</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2558.13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990.32</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0.00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1567.81</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与上年相比，无变化。由于</w:t>
      </w:r>
      <w:r>
        <w:rPr>
          <w:rFonts w:hint="eastAsia" w:ascii="仿宋_GB2312" w:hAnsi="Times New Roman" w:eastAsia="仿宋_GB2312" w:cs="DengXian-Regular"/>
          <w:sz w:val="32"/>
          <w:szCs w:val="32"/>
          <w:lang w:val="en-US" w:eastAsia="zh-CN"/>
        </w:rPr>
        <w:t>2019年国防办、文明办机构职能划转宣传部，文明办车辆1辆调拨至组织部。</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，与上年相比，无变化；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，与上年相比，无变化</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政府性基金预算财政拨款收入支出决算表和国有资本经营预算财政拨款支出决算表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eastAsia="zh-CN"/>
        </w:rPr>
        <w:t>公开</w:t>
      </w:r>
      <w:r>
        <w:rPr>
          <w:rFonts w:hint="eastAsia" w:ascii="仿宋_GB2312" w:hAnsi="Times New Roman" w:eastAsia="仿宋_GB2312" w:cs="DengXian-Regular"/>
          <w:sz w:val="32"/>
          <w:szCs w:val="32"/>
          <w:lang w:val="en-US" w:eastAsia="zh-CN"/>
        </w:rPr>
        <w:t>08、09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2" w:type="first"/>
          <w:footerReference r:id="rId24" w:type="first"/>
          <w:headerReference r:id="rId21" w:type="default"/>
          <w:footerReference r:id="rId23"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360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32"/>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5"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7"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462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32"/>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1252" w:tblpY="208"/>
        <w:tblOverlap w:val="never"/>
        <w:tblW w:w="9517" w:type="dxa"/>
        <w:jc w:val="center"/>
        <w:tblInd w:w="0" w:type="dxa"/>
        <w:tblLayout w:type="fixed"/>
        <w:tblCellMar>
          <w:top w:w="0" w:type="dxa"/>
          <w:left w:w="0" w:type="dxa"/>
          <w:bottom w:w="0" w:type="dxa"/>
          <w:right w:w="0" w:type="dxa"/>
        </w:tblCellMar>
      </w:tblPr>
      <w:tblGrid>
        <w:gridCol w:w="3095"/>
        <w:gridCol w:w="731"/>
        <w:gridCol w:w="832"/>
        <w:gridCol w:w="3333"/>
        <w:gridCol w:w="541"/>
        <w:gridCol w:w="985"/>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82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3728.81</w:t>
            </w: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ind w:left="220" w:leftChars="0" w:hanging="220" w:hangingChars="10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1099.21</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64.11</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26.37</w:t>
            </w: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2520.14</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36.69</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19.37</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3755.17</w:t>
            </w: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3753.16</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32.07</w:t>
            </w: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34.08</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09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3787.24</w:t>
            </w:r>
            <w:r>
              <w:rPr>
                <w:rFonts w:hint="eastAsia" w:ascii="宋体" w:hAnsi="宋体" w:eastAsia="宋体" w:cs="宋体"/>
                <w:color w:val="000000"/>
                <w:kern w:val="0"/>
                <w:sz w:val="22"/>
                <w:lang w:bidi="ar"/>
              </w:rPr>
              <w:t>　</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3787.24</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pPr w:leftFromText="180" w:rightFromText="180" w:vertAnchor="text" w:horzAnchor="page" w:tblpX="556" w:tblpY="18"/>
        <w:tblOverlap w:val="never"/>
        <w:tblW w:w="10852" w:type="dxa"/>
        <w:tblInd w:w="0" w:type="dxa"/>
        <w:tblLayout w:type="fixed"/>
        <w:tblCellMar>
          <w:top w:w="0" w:type="dxa"/>
          <w:left w:w="0" w:type="dxa"/>
          <w:bottom w:w="0" w:type="dxa"/>
          <w:right w:w="0" w:type="dxa"/>
        </w:tblCellMar>
      </w:tblPr>
      <w:tblGrid>
        <w:gridCol w:w="814"/>
        <w:gridCol w:w="46"/>
        <w:gridCol w:w="240"/>
        <w:gridCol w:w="3700"/>
        <w:gridCol w:w="909"/>
        <w:gridCol w:w="982"/>
        <w:gridCol w:w="832"/>
        <w:gridCol w:w="845"/>
        <w:gridCol w:w="832"/>
        <w:gridCol w:w="763"/>
        <w:gridCol w:w="889"/>
      </w:tblGrid>
      <w:tr>
        <w:tblPrEx>
          <w:tblLayout w:type="fixed"/>
          <w:tblCellMar>
            <w:top w:w="0" w:type="dxa"/>
            <w:left w:w="0" w:type="dxa"/>
            <w:bottom w:w="0" w:type="dxa"/>
            <w:right w:w="0" w:type="dxa"/>
          </w:tblCellMar>
        </w:tblPrEx>
        <w:trPr>
          <w:trHeight w:val="670" w:hRule="atLeast"/>
        </w:trPr>
        <w:tc>
          <w:tcPr>
            <w:tcW w:w="10852"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trPr>
        <w:tc>
          <w:tcPr>
            <w:tcW w:w="81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5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trPr>
        <w:tc>
          <w:tcPr>
            <w:tcW w:w="4800" w:type="dxa"/>
            <w:gridSpan w:val="4"/>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90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84"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trPr>
        <w:tc>
          <w:tcPr>
            <w:tcW w:w="48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9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8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83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76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88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trPr>
        <w:tc>
          <w:tcPr>
            <w:tcW w:w="11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trPr>
        <w:tc>
          <w:tcPr>
            <w:tcW w:w="11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trPr>
        <w:tc>
          <w:tcPr>
            <w:tcW w:w="11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48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trPr>
        <w:tc>
          <w:tcPr>
            <w:tcW w:w="480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3755.17</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3728.81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26.37</w:t>
            </w: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一般公共服务支出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1099.72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1099.72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61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党委办公厅（室）及相关机构事务</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2013150</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宣传事务</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1063.89</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1063.89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238.49</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238.49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2013302</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247.15</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247.15</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2013350</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事业运行</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68.63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68.63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2013399</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ind w:firstLine="220" w:firstLineChars="100"/>
              <w:jc w:val="left"/>
              <w:rPr>
                <w:rFonts w:hint="eastAsia" w:ascii="宋体" w:hAnsi="宋体" w:eastAsia="宋体" w:cs="宋体"/>
                <w:color w:val="000000"/>
                <w:sz w:val="22"/>
              </w:rPr>
            </w:pPr>
            <w:r>
              <w:rPr>
                <w:rFonts w:hint="eastAsia" w:ascii="宋体" w:hAnsi="宋体" w:eastAsia="宋体" w:cs="宋体"/>
                <w:color w:val="000000"/>
                <w:sz w:val="22"/>
              </w:rPr>
              <w:t>其他宣传事务支出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509.62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509.62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公共安全支出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武装警察部队</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2040199</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w:t>
            </w:r>
            <w:r>
              <w:rPr>
                <w:rFonts w:hint="eastAsia" w:ascii="宋体" w:hAnsi="宋体" w:eastAsia="宋体" w:cs="宋体"/>
                <w:color w:val="000000"/>
                <w:sz w:val="22"/>
                <w:lang w:val="en-US" w:eastAsia="zh-CN"/>
              </w:rPr>
              <w:t xml:space="preserve"> </w:t>
            </w:r>
            <w:r>
              <w:rPr>
                <w:rFonts w:hint="eastAsia" w:ascii="宋体" w:hAnsi="宋体" w:eastAsia="宋体" w:cs="宋体"/>
                <w:color w:val="000000"/>
                <w:sz w:val="22"/>
              </w:rPr>
              <w:t>其他武装警察部队支出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文化旅游体育与传媒支出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2520.14</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2495.18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24.96</w:t>
            </w: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文化和旅游</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2172.09</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2172.09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2070113</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旅游宣传</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2097.09</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2097.09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2070199</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w:t>
            </w:r>
            <w:r>
              <w:rPr>
                <w:rFonts w:hint="eastAsia" w:ascii="宋体" w:hAnsi="宋体" w:eastAsia="宋体" w:cs="宋体"/>
                <w:color w:val="000000"/>
                <w:sz w:val="22"/>
                <w:lang w:val="en-US" w:eastAsia="zh-CN"/>
              </w:rPr>
              <w:t xml:space="preserve"> </w:t>
            </w:r>
            <w:r>
              <w:rPr>
                <w:rFonts w:hint="eastAsia" w:ascii="宋体" w:hAnsi="宋体" w:eastAsia="宋体" w:cs="宋体"/>
                <w:color w:val="000000"/>
                <w:sz w:val="22"/>
              </w:rPr>
              <w:t>其他文化和旅游支出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75.00</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75.00</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其他文化体育与传媒支出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348.05</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323.09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24.96</w:t>
            </w: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2079902</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宣传文化发展专项支出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245.83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245.83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2079999</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其他文化体育与传媒支出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102.22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77.26</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24.96</w:t>
            </w: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社会保障和就业支出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36.78</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35.37</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1.41</w:t>
            </w: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行政事业单位离退休</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30.51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30.51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机关事业单位基本养老保险缴费支出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30.51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30.51</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w:t>
            </w:r>
          </w:p>
        </w:tc>
        <w:tc>
          <w:tcPr>
            <w:tcW w:w="370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退役安置</w:t>
            </w:r>
          </w:p>
        </w:tc>
        <w:tc>
          <w:tcPr>
            <w:tcW w:w="90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98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4.86</w:t>
            </w:r>
          </w:p>
        </w:tc>
        <w:tc>
          <w:tcPr>
            <w:tcW w:w="8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1.41</w:t>
            </w:r>
          </w:p>
        </w:tc>
      </w:tr>
      <w:tr>
        <w:tblPrEx>
          <w:tblLayout w:type="fixed"/>
          <w:tblCellMar>
            <w:top w:w="0" w:type="dxa"/>
            <w:left w:w="0" w:type="dxa"/>
            <w:bottom w:w="0" w:type="dxa"/>
            <w:right w:w="0" w:type="dxa"/>
          </w:tblCellMar>
        </w:tblPrEx>
        <w:trPr>
          <w:trHeight w:val="385" w:hRule="atLeast"/>
        </w:trPr>
        <w:tc>
          <w:tcPr>
            <w:tcW w:w="110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2080901</w:t>
            </w:r>
          </w:p>
        </w:tc>
        <w:tc>
          <w:tcPr>
            <w:tcW w:w="37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退役士兵安置</w:t>
            </w:r>
          </w:p>
        </w:tc>
        <w:tc>
          <w:tcPr>
            <w:tcW w:w="9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9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4.86</w:t>
            </w:r>
          </w:p>
        </w:tc>
        <w:tc>
          <w:tcPr>
            <w:tcW w:w="8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1.41</w:t>
            </w:r>
          </w:p>
        </w:tc>
      </w:tr>
      <w:tr>
        <w:tblPrEx>
          <w:tblLayout w:type="fixed"/>
          <w:tblCellMar>
            <w:top w:w="0" w:type="dxa"/>
            <w:left w:w="0" w:type="dxa"/>
            <w:bottom w:w="0" w:type="dxa"/>
            <w:right w:w="0" w:type="dxa"/>
          </w:tblCellMar>
        </w:tblPrEx>
        <w:trPr>
          <w:trHeight w:val="385" w:hRule="atLeast"/>
        </w:trPr>
        <w:tc>
          <w:tcPr>
            <w:tcW w:w="1100"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37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卫生健康支出</w:t>
            </w:r>
          </w:p>
        </w:tc>
        <w:tc>
          <w:tcPr>
            <w:tcW w:w="90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19.4</w:t>
            </w:r>
          </w:p>
        </w:tc>
        <w:tc>
          <w:tcPr>
            <w:tcW w:w="9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19.4</w:t>
            </w:r>
          </w:p>
        </w:tc>
        <w:tc>
          <w:tcPr>
            <w:tcW w:w="8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21001</w:t>
            </w:r>
          </w:p>
        </w:tc>
        <w:tc>
          <w:tcPr>
            <w:tcW w:w="3700"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卫生健康管理事务</w:t>
            </w:r>
          </w:p>
        </w:tc>
        <w:tc>
          <w:tcPr>
            <w:tcW w:w="909"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982"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832"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2100101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行政运行</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行政事业单位医疗</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14.72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14.72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行政单位医疗</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11.43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11.43</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2101102</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事业单位医疗</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住房保障支出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住房改革支出</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trPr>
        <w:tc>
          <w:tcPr>
            <w:tcW w:w="11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37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住房公积金</w:t>
            </w:r>
          </w:p>
        </w:tc>
        <w:tc>
          <w:tcPr>
            <w:tcW w:w="9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15.02</w:t>
            </w: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gridAfter w:val="3"/>
          <w:wAfter w:w="2484" w:type="dxa"/>
          <w:trHeight w:val="385" w:hRule="atLeast"/>
        </w:trPr>
        <w:tc>
          <w:tcPr>
            <w:tcW w:w="8368"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tabs>
          <w:tab w:val="left" w:pos="886"/>
        </w:tabs>
        <w:jc w:val="left"/>
      </w:pPr>
    </w:p>
    <w:p>
      <w:pPr>
        <w:jc w:val="left"/>
      </w:pPr>
    </w:p>
    <w:p>
      <w:pPr>
        <w:jc w:val="left"/>
      </w:pPr>
    </w:p>
    <w:p>
      <w:r>
        <w:br w:type="page"/>
      </w:r>
    </w:p>
    <w:tbl>
      <w:tblPr>
        <w:tblStyle w:val="6"/>
        <w:tblW w:w="10316" w:type="dxa"/>
        <w:jc w:val="center"/>
        <w:tblInd w:w="0" w:type="dxa"/>
        <w:tblLayout w:type="fixed"/>
        <w:tblCellMar>
          <w:top w:w="0" w:type="dxa"/>
          <w:left w:w="0" w:type="dxa"/>
          <w:bottom w:w="0" w:type="dxa"/>
          <w:right w:w="0" w:type="dxa"/>
        </w:tblCellMar>
      </w:tblPr>
      <w:tblGrid>
        <w:gridCol w:w="1000"/>
        <w:gridCol w:w="780"/>
        <w:gridCol w:w="90"/>
        <w:gridCol w:w="1466"/>
        <w:gridCol w:w="487"/>
        <w:gridCol w:w="1104"/>
        <w:gridCol w:w="495"/>
        <w:gridCol w:w="569"/>
        <w:gridCol w:w="991"/>
        <w:gridCol w:w="762"/>
        <w:gridCol w:w="234"/>
        <w:gridCol w:w="927"/>
        <w:gridCol w:w="177"/>
        <w:gridCol w:w="1234"/>
      </w:tblGrid>
      <w:tr>
        <w:tblPrEx>
          <w:tblLayout w:type="fixed"/>
          <w:tblCellMar>
            <w:top w:w="0" w:type="dxa"/>
            <w:left w:w="0" w:type="dxa"/>
            <w:bottom w:w="0" w:type="dxa"/>
            <w:right w:w="0" w:type="dxa"/>
          </w:tblCellMar>
        </w:tblPrEx>
        <w:trPr>
          <w:trHeight w:val="612" w:hRule="atLeast"/>
          <w:jc w:val="center"/>
        </w:trPr>
        <w:tc>
          <w:tcPr>
            <w:tcW w:w="10316" w:type="dxa"/>
            <w:gridSpan w:val="14"/>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5991" w:type="dxa"/>
            <w:gridSpan w:val="8"/>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9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6"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382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0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06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9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996"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04"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2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00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823" w:type="dxa"/>
            <w:gridSpan w:val="4"/>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00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3"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00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3"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0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6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6"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04"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3823"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0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6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9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0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2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3823"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3753.16</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470.48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3282.68</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1099.21</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342.94</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756.27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党委办公厅（室）及相关机构事务</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2013150</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35.83</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宣传事务</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1063.39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307.11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756.27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238.49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238.49</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2013302</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247.11</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247.11</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2013350</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68.62</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68.62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2013399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其他宣传事务支出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509.17</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509.17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公共安全支出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武装警察部队</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2040199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其他武装警察部队支出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文化旅游体育与传媒支出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2520.14</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2520.14</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文化和旅游</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2172.09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2172.09</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2070113</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旅游宣传</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2097.09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2097.09</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2070199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其他文化和旅游支出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75.00</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75.00</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其他文化体育与传媒支出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348.05</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348.05</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2079902</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宣传文化发展专项支出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245.83</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245.83</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2079999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其他文化体育与传媒支出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102.22</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102.22</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36.69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30.42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30.42</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30.42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30.42</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30.42</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退役士兵安置</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6.27</w:t>
            </w: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19.37</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19.37</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卫生健康管理事务</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2100101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14.69</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14.69</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282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行政单位医疗</w:t>
            </w:r>
          </w:p>
        </w:tc>
        <w:tc>
          <w:tcPr>
            <w:tcW w:w="11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11.4</w:t>
            </w:r>
          </w:p>
        </w:tc>
        <w:tc>
          <w:tcPr>
            <w:tcW w:w="106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11.4</w:t>
            </w:r>
          </w:p>
        </w:tc>
        <w:tc>
          <w:tcPr>
            <w:tcW w:w="9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2101102</w:t>
            </w:r>
          </w:p>
        </w:tc>
        <w:tc>
          <w:tcPr>
            <w:tcW w:w="2823" w:type="dxa"/>
            <w:gridSpan w:val="4"/>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事业单位医疗</w:t>
            </w:r>
          </w:p>
        </w:tc>
        <w:tc>
          <w:tcPr>
            <w:tcW w:w="110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106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99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2823"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1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06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9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2823" w:type="dxa"/>
            <w:gridSpan w:val="4"/>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110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06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991"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00" w:type="dxa"/>
            <w:tcBorders>
              <w:top w:val="single" w:color="auto"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2823" w:type="dxa"/>
            <w:gridSpan w:val="4"/>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住房公积金</w:t>
            </w:r>
          </w:p>
        </w:tc>
        <w:tc>
          <w:tcPr>
            <w:tcW w:w="110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06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991"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6"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04" w:type="dxa"/>
            <w:gridSpan w:val="2"/>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34" w:type="dxa"/>
            <w:tcBorders>
              <w:top w:val="single" w:color="auto"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0316" w:type="dxa"/>
            <w:gridSpan w:val="14"/>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10276" w:type="dxa"/>
        <w:jc w:val="center"/>
        <w:tblInd w:w="0" w:type="dxa"/>
        <w:tblLayout w:type="fixed"/>
        <w:tblCellMar>
          <w:top w:w="0" w:type="dxa"/>
          <w:left w:w="0" w:type="dxa"/>
          <w:bottom w:w="0" w:type="dxa"/>
          <w:right w:w="0" w:type="dxa"/>
        </w:tblCellMar>
      </w:tblPr>
      <w:tblGrid>
        <w:gridCol w:w="2971"/>
        <w:gridCol w:w="545"/>
        <w:gridCol w:w="941"/>
        <w:gridCol w:w="2782"/>
        <w:gridCol w:w="518"/>
        <w:gridCol w:w="927"/>
        <w:gridCol w:w="887"/>
        <w:gridCol w:w="705"/>
      </w:tblGrid>
      <w:tr>
        <w:tblPrEx>
          <w:tblLayout w:type="fixed"/>
          <w:tblCellMar>
            <w:top w:w="0" w:type="dxa"/>
            <w:left w:w="0" w:type="dxa"/>
            <w:bottom w:w="0" w:type="dxa"/>
            <w:right w:w="0" w:type="dxa"/>
          </w:tblCellMar>
        </w:tblPrEx>
        <w:trPr>
          <w:trHeight w:val="406" w:hRule="atLeast"/>
          <w:jc w:val="center"/>
        </w:trPr>
        <w:tc>
          <w:tcPr>
            <w:tcW w:w="10276"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1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4457" w:type="dxa"/>
            <w:gridSpan w:val="3"/>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27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1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45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819"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7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4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78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2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0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7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8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2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3728.81</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1099.21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1099.21</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64.11</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2495.18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2495.18</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35.29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35.29</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19.37</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19.37</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3728.81</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3726.79</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3726.79</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32.07</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34.08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34.08</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32.07</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7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3760.88</w:t>
            </w:r>
          </w:p>
        </w:tc>
        <w:tc>
          <w:tcPr>
            <w:tcW w:w="27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3760.88</w:t>
            </w:r>
          </w:p>
        </w:tc>
        <w:tc>
          <w:tcPr>
            <w:tcW w:w="8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3760.88</w:t>
            </w:r>
          </w:p>
        </w:tc>
        <w:tc>
          <w:tcPr>
            <w:tcW w:w="7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10276"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10090" w:type="dxa"/>
        <w:jc w:val="center"/>
        <w:tblInd w:w="0" w:type="dxa"/>
        <w:tblLayout w:type="fixed"/>
        <w:tblCellMar>
          <w:top w:w="0" w:type="dxa"/>
          <w:left w:w="0" w:type="dxa"/>
          <w:bottom w:w="0" w:type="dxa"/>
          <w:right w:w="0" w:type="dxa"/>
        </w:tblCellMar>
      </w:tblPr>
      <w:tblGrid>
        <w:gridCol w:w="656"/>
        <w:gridCol w:w="66"/>
        <w:gridCol w:w="240"/>
        <w:gridCol w:w="3333"/>
        <w:gridCol w:w="1787"/>
        <w:gridCol w:w="1922"/>
        <w:gridCol w:w="2086"/>
      </w:tblGrid>
      <w:tr>
        <w:tblPrEx>
          <w:tblLayout w:type="fixed"/>
          <w:tblCellMar>
            <w:top w:w="0" w:type="dxa"/>
            <w:left w:w="0" w:type="dxa"/>
            <w:bottom w:w="0" w:type="dxa"/>
            <w:right w:w="0" w:type="dxa"/>
          </w:tblCellMar>
        </w:tblPrEx>
        <w:trPr>
          <w:trHeight w:val="600" w:hRule="atLeast"/>
          <w:jc w:val="center"/>
        </w:trPr>
        <w:tc>
          <w:tcPr>
            <w:tcW w:w="100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6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3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0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4295"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17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00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29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79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96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33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7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9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08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96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96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7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29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429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rPr>
            </w:pPr>
            <w:r>
              <w:rPr>
                <w:rFonts w:hint="eastAsia" w:ascii="宋体" w:hAnsi="宋体" w:eastAsia="宋体" w:cs="宋体"/>
                <w:b/>
                <w:color w:val="000000"/>
                <w:sz w:val="22"/>
                <w:lang w:val="en-US" w:eastAsia="zh-CN"/>
              </w:rPr>
              <w:t>3726.79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470.48</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rPr>
            </w:pPr>
            <w:r>
              <w:rPr>
                <w:rFonts w:hint="eastAsia" w:ascii="宋体" w:hAnsi="宋体" w:eastAsia="宋体" w:cs="宋体"/>
                <w:b/>
                <w:color w:val="000000"/>
                <w:sz w:val="22"/>
                <w:lang w:val="en-US" w:eastAsia="zh-CN"/>
              </w:rPr>
              <w:t>3256.32</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1099.21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342.94</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756.27</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党委办公厅（室）及相关机构事务</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35.83</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35.83</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2013150</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35.83</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35.83</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20133</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宣传事务</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1063.39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307.11</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756.27</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2013301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行政运行</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238.49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238.49</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2013302</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一般行政管理事务</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247.11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247.11</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2013350</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事业运行</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68.62</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68.62</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2013399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其他宣传事务支出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509.17</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509.17</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204</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公共安全支出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20401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武装警察部队</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2040199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其他武装警察部队支出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64.11</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文化旅游体育与传媒支出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2495.18</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2495.18</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20701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文化和旅游</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2172.09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2172.09</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2070113</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旅游宣传</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2097.09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2097.09</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2070199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其他文化和旅游支出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75.00</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75.00</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20799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其他文化体育与传媒支出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323.09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323.09</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2079902</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宣传文化发展专项支出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245.83</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245.83</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2079999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其他文化体育与传媒支出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77.26</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77.26</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35.29</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30.42</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4.86</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20805</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30.42</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30.42</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2080505</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机关事业单位基本养老保险缴费支出</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30.42</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30.42</w:t>
            </w: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20809</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4.86</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4.86</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2080901</w:t>
            </w:r>
          </w:p>
        </w:tc>
        <w:tc>
          <w:tcPr>
            <w:tcW w:w="33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退役士兵安置</w:t>
            </w:r>
          </w:p>
        </w:tc>
        <w:tc>
          <w:tcPr>
            <w:tcW w:w="17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4.86</w:t>
            </w:r>
          </w:p>
        </w:tc>
        <w:tc>
          <w:tcPr>
            <w:tcW w:w="19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0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4.86</w:t>
            </w: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210</w:t>
            </w:r>
          </w:p>
        </w:tc>
        <w:tc>
          <w:tcPr>
            <w:tcW w:w="333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787"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19.37</w:t>
            </w:r>
          </w:p>
        </w:tc>
        <w:tc>
          <w:tcPr>
            <w:tcW w:w="192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19.37</w:t>
            </w:r>
          </w:p>
        </w:tc>
        <w:tc>
          <w:tcPr>
            <w:tcW w:w="20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21001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卫生健康管理事务</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4.68</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4.68</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2100101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行政运行</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4.68</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行政事业单位医疗</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14.69</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14.69</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行政单位医疗</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11.4</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11.4</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2101102</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事业单位医疗</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3.29</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住房保障支出</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住房改革支出</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962"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333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 xml:space="preserve">  住房公积金</w:t>
            </w:r>
          </w:p>
        </w:tc>
        <w:tc>
          <w:tcPr>
            <w:tcW w:w="178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192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13.64</w:t>
            </w:r>
          </w:p>
        </w:tc>
        <w:tc>
          <w:tcPr>
            <w:tcW w:w="208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jc w:val="left"/>
        <w:rPr>
          <w:rFonts w:hint="eastAsia" w:eastAsiaTheme="minorEastAsia"/>
          <w:lang w:eastAsia="zh-CN"/>
        </w:rPr>
      </w:pPr>
      <w:r>
        <w:rPr>
          <w:rFonts w:hint="eastAsia" w:ascii="宋体" w:hAnsi="宋体" w:eastAsia="宋体" w:cs="宋体"/>
          <w:color w:val="000000"/>
          <w:kern w:val="0"/>
          <w:sz w:val="22"/>
          <w:lang w:bidi="ar"/>
        </w:rPr>
        <w:t>注：本表反映部门本年度一般公共预算财政拨款</w:t>
      </w:r>
      <w:r>
        <w:rPr>
          <w:rFonts w:hint="eastAsia" w:ascii="宋体" w:hAnsi="宋体" w:eastAsia="宋体" w:cs="宋体"/>
          <w:color w:val="000000"/>
          <w:kern w:val="0"/>
          <w:sz w:val="22"/>
          <w:lang w:eastAsia="zh-CN" w:bidi="ar"/>
        </w:rPr>
        <w:t>支出情况</w:t>
      </w:r>
      <w:r>
        <w:rPr>
          <w:rFonts w:hint="eastAsia" w:ascii="宋体" w:hAnsi="宋体" w:eastAsia="宋体" w:cs="宋体"/>
          <w:color w:val="000000"/>
          <w:kern w:val="0"/>
          <w:sz w:val="22"/>
          <w:lang w:bidi="ar"/>
        </w:rPr>
        <w:t>。</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4266"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414.78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49.94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125.78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27.97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80.83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109.98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8.37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5.16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14.69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13.64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26.53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5.76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9.84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420.54</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49.94</w:t>
            </w:r>
          </w:p>
        </w:tc>
      </w:tr>
    </w:tbl>
    <w:p>
      <w:r>
        <w:rPr>
          <w:rFonts w:hint="eastAsia"/>
          <w:lang w:eastAsia="zh-CN"/>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3230"/>
        <w:gridCol w:w="1420"/>
        <w:gridCol w:w="1095"/>
        <w:gridCol w:w="808"/>
        <w:gridCol w:w="109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14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3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2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998"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3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3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3230"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7.4</w:t>
            </w:r>
          </w:p>
        </w:tc>
        <w:tc>
          <w:tcPr>
            <w:tcW w:w="1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8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5.4</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2</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323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20"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998"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323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323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4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0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3230"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1.96</w:t>
            </w:r>
          </w:p>
        </w:tc>
        <w:tc>
          <w:tcPr>
            <w:tcW w:w="142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1.96</w:t>
            </w:r>
          </w:p>
        </w:tc>
        <w:tc>
          <w:tcPr>
            <w:tcW w:w="80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9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1.96</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3230"/>
        <w:gridCol w:w="36"/>
        <w:gridCol w:w="36"/>
        <w:gridCol w:w="910"/>
        <w:gridCol w:w="883"/>
        <w:gridCol w:w="883"/>
        <w:gridCol w:w="883"/>
        <w:gridCol w:w="883"/>
        <w:gridCol w:w="883"/>
        <w:gridCol w:w="883"/>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323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8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264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8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33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91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8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33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42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30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注：本部门本年度无相关收入（或支出、收支及结转和结余等）情况，按要求空表列支。</w:t>
      </w:r>
      <w:r>
        <w:br w:type="page"/>
      </w:r>
    </w:p>
    <w:tbl>
      <w:tblPr>
        <w:tblStyle w:val="6"/>
        <w:tblW w:w="9915" w:type="dxa"/>
        <w:jc w:val="center"/>
        <w:tblInd w:w="0" w:type="dxa"/>
        <w:tblLayout w:type="fixed"/>
        <w:tblCellMar>
          <w:top w:w="0" w:type="dxa"/>
          <w:left w:w="0" w:type="dxa"/>
          <w:bottom w:w="0" w:type="dxa"/>
          <w:right w:w="0" w:type="dxa"/>
        </w:tblCellMar>
      </w:tblPr>
      <w:tblGrid>
        <w:gridCol w:w="4299"/>
        <w:gridCol w:w="48"/>
        <w:gridCol w:w="48"/>
        <w:gridCol w:w="2473"/>
        <w:gridCol w:w="626"/>
        <w:gridCol w:w="1211"/>
        <w:gridCol w:w="121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429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2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4299"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中共石家庄市鹿泉区委宣传部</w:t>
            </w: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2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686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3047"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68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686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39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2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lang w:eastAsia="zh-CN"/>
        </w:rPr>
        <w:t>注：本部门本年度无相关收入（或支出、收支及结转和结余等）情况，按要求空表列支。</w:t>
      </w:r>
      <w:r>
        <w:br w:type="page"/>
      </w:r>
    </w:p>
    <w:p>
      <w:r>
        <mc:AlternateContent>
          <mc:Choice Requires="wps">
            <w:drawing>
              <wp:anchor distT="0" distB="0" distL="114300" distR="114300" simplePos="0" relativeHeight="25167564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564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9" w:type="first"/>
      <w:headerReference r:id="rId28" w:type="default"/>
      <w:footerReference r:id="rId30"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Times New Roman"/>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Times New Roman"/>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203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203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510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510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896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998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998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100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100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974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872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872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281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384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588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58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48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48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817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817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920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920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612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612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7152"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715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3056;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408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691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793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793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0EE1"/>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2F024C"/>
    <w:rsid w:val="0541696B"/>
    <w:rsid w:val="05B00A30"/>
    <w:rsid w:val="060A514A"/>
    <w:rsid w:val="06117CED"/>
    <w:rsid w:val="097E24A1"/>
    <w:rsid w:val="09FD528E"/>
    <w:rsid w:val="09FE0B68"/>
    <w:rsid w:val="0B011416"/>
    <w:rsid w:val="0B636B67"/>
    <w:rsid w:val="0CB6014D"/>
    <w:rsid w:val="1094007C"/>
    <w:rsid w:val="11B35A37"/>
    <w:rsid w:val="12F81037"/>
    <w:rsid w:val="134D50A4"/>
    <w:rsid w:val="13F54C0C"/>
    <w:rsid w:val="14154F27"/>
    <w:rsid w:val="18782B62"/>
    <w:rsid w:val="1A045CA8"/>
    <w:rsid w:val="1AD83C87"/>
    <w:rsid w:val="1AF87B5C"/>
    <w:rsid w:val="1C004D35"/>
    <w:rsid w:val="1E2D5CE4"/>
    <w:rsid w:val="1F0E797D"/>
    <w:rsid w:val="1F1154F7"/>
    <w:rsid w:val="1F8813E7"/>
    <w:rsid w:val="219668EE"/>
    <w:rsid w:val="22591116"/>
    <w:rsid w:val="23501325"/>
    <w:rsid w:val="2788402B"/>
    <w:rsid w:val="27B25ECF"/>
    <w:rsid w:val="28637D42"/>
    <w:rsid w:val="295047A4"/>
    <w:rsid w:val="2A0D4E0D"/>
    <w:rsid w:val="2AAE7E1C"/>
    <w:rsid w:val="2C427290"/>
    <w:rsid w:val="305A470B"/>
    <w:rsid w:val="31C2036A"/>
    <w:rsid w:val="320D02A5"/>
    <w:rsid w:val="345B2145"/>
    <w:rsid w:val="348E566F"/>
    <w:rsid w:val="3740306E"/>
    <w:rsid w:val="377B5CF9"/>
    <w:rsid w:val="389A412D"/>
    <w:rsid w:val="38FC0A35"/>
    <w:rsid w:val="3A226944"/>
    <w:rsid w:val="3AEE6A48"/>
    <w:rsid w:val="3C1620AA"/>
    <w:rsid w:val="3D8F080F"/>
    <w:rsid w:val="41DE4A01"/>
    <w:rsid w:val="42F57F11"/>
    <w:rsid w:val="4415503B"/>
    <w:rsid w:val="444325BF"/>
    <w:rsid w:val="44CE1FA4"/>
    <w:rsid w:val="44E86B19"/>
    <w:rsid w:val="466F124A"/>
    <w:rsid w:val="46E0528A"/>
    <w:rsid w:val="487F73ED"/>
    <w:rsid w:val="48B20050"/>
    <w:rsid w:val="4A347EAE"/>
    <w:rsid w:val="4A4223ED"/>
    <w:rsid w:val="4C301958"/>
    <w:rsid w:val="4FF67D39"/>
    <w:rsid w:val="52600405"/>
    <w:rsid w:val="527E7621"/>
    <w:rsid w:val="529B4319"/>
    <w:rsid w:val="543F09B6"/>
    <w:rsid w:val="55E6525E"/>
    <w:rsid w:val="57773DD6"/>
    <w:rsid w:val="578B79AB"/>
    <w:rsid w:val="595A5C34"/>
    <w:rsid w:val="5AC94653"/>
    <w:rsid w:val="5AE82EE7"/>
    <w:rsid w:val="5CCD3FD5"/>
    <w:rsid w:val="5EC459DF"/>
    <w:rsid w:val="61FA5F9D"/>
    <w:rsid w:val="624501BA"/>
    <w:rsid w:val="64CD6910"/>
    <w:rsid w:val="652C7168"/>
    <w:rsid w:val="6789158D"/>
    <w:rsid w:val="67D81BA4"/>
    <w:rsid w:val="69502305"/>
    <w:rsid w:val="6A234F0B"/>
    <w:rsid w:val="6AAF1C96"/>
    <w:rsid w:val="6D9B1D1E"/>
    <w:rsid w:val="6DA368F7"/>
    <w:rsid w:val="6FDE5623"/>
    <w:rsid w:val="7179730E"/>
    <w:rsid w:val="72CA31B8"/>
    <w:rsid w:val="75681757"/>
    <w:rsid w:val="75A346A8"/>
    <w:rsid w:val="773578C3"/>
    <w:rsid w:val="79B9382C"/>
    <w:rsid w:val="7B043B76"/>
    <w:rsid w:val="7C041A6A"/>
    <w:rsid w:val="7DC97164"/>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chart" Target="charts/chart4.xml"/><Relationship Id="rId37" Type="http://schemas.openxmlformats.org/officeDocument/2006/relationships/chart" Target="charts/chart3.xml"/><Relationship Id="rId36" Type="http://schemas.openxmlformats.org/officeDocument/2006/relationships/image" Target="media/image3.emf"/><Relationship Id="rId35" Type="http://schemas.openxmlformats.org/officeDocument/2006/relationships/oleObject" Target="embeddings/oleObject1.bin"/><Relationship Id="rId34" Type="http://schemas.openxmlformats.org/officeDocument/2006/relationships/chart" Target="charts/chart2.xml"/><Relationship Id="rId33" Type="http://schemas.openxmlformats.org/officeDocument/2006/relationships/chart" Target="charts/chart1.xml"/><Relationship Id="rId32" Type="http://schemas.openxmlformats.org/officeDocument/2006/relationships/image" Target="media/image2.bmp"/><Relationship Id="rId31" Type="http://schemas.openxmlformats.org/officeDocument/2006/relationships/theme" Target="theme/theme1.xml"/><Relationship Id="rId30" Type="http://schemas.openxmlformats.org/officeDocument/2006/relationships/footer" Target="footer11.xml"/><Relationship Id="rId3" Type="http://schemas.openxmlformats.org/officeDocument/2006/relationships/header" Target="header1.xml"/><Relationship Id="rId29" Type="http://schemas.openxmlformats.org/officeDocument/2006/relationships/header" Target="header17.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footer" Target="footer10.xml"/><Relationship Id="rId23" Type="http://schemas.openxmlformats.org/officeDocument/2006/relationships/footer" Target="footer9.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4.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1.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275"/>
          <c:y val="0.0484653582330764"/>
          <c:w val="0.945"/>
          <c:h val="0.936820823856457"/>
        </c:manualLayout>
      </c:layout>
      <c:pie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explosion val="0"/>
            <c:spPr>
              <a:solidFill>
                <a:schemeClr val="accent1"/>
              </a:solidFill>
              <a:ln>
                <a:noFill/>
              </a:ln>
              <a:effectLst>
                <a:outerShdw blurRad="254000" sx="102000" sy="102000" algn="ctr" rotWithShape="0">
                  <a:prstClr val="black">
                    <a:alpha val="20000"/>
                  </a:prstClr>
                </a:outerShdw>
              </a:effectLst>
            </c:spPr>
          </c:dPt>
          <c:dPt>
            <c:idx val="1"/>
            <c:bubble3D val="0"/>
            <c:explosion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财政拨款收入99.30%</a:t>
                    </a: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0104385749943943"/>
                  <c:y val="0.0112668671665865"/>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其他收入0.70%</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0.993</c:v>
                </c:pt>
                <c:pt idx="1">
                  <c:v>0.007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图2：支出构成情况（按支出性质）</a:t>
            </a:r>
          </a:p>
        </c:rich>
      </c:tx>
      <c:layout>
        <c:manualLayout>
          <c:xMode val="edge"/>
          <c:yMode val="edge"/>
          <c:x val="0.242125"/>
          <c:y val="0.0585"/>
        </c:manualLayout>
      </c:layout>
      <c:overlay val="0"/>
      <c:spPr>
        <a:noFill/>
        <a:ln>
          <a:noFill/>
        </a:ln>
        <a:effectLst/>
      </c:spPr>
    </c:title>
    <c:autoTitleDeleted val="0"/>
    <c:plotArea>
      <c:layout>
        <c:manualLayout>
          <c:layoutTarget val="inner"/>
          <c:xMode val="edge"/>
          <c:yMode val="edge"/>
          <c:x val="0.0275"/>
          <c:y val="0.122833333333333"/>
          <c:w val="0.945"/>
          <c:h val="0.760833333333333"/>
        </c:manualLayout>
      </c:layout>
      <c:pie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explosion val="0"/>
            <c:spPr>
              <a:solidFill>
                <a:schemeClr val="accent1"/>
              </a:solidFill>
              <a:ln>
                <a:noFill/>
              </a:ln>
              <a:effectLst>
                <a:outerShdw blurRad="254000" sx="102000" sy="102000" algn="ctr" rotWithShape="0">
                  <a:prstClr val="black">
                    <a:alpha val="20000"/>
                  </a:prstClr>
                </a:outerShdw>
              </a:effectLst>
            </c:spPr>
          </c:dPt>
          <c:dPt>
            <c:idx val="1"/>
            <c:bubble3D val="0"/>
            <c:explosion val="0"/>
            <c:spPr>
              <a:solidFill>
                <a:schemeClr val="accent2"/>
              </a:solidFill>
              <a:ln>
                <a:noFill/>
              </a:ln>
              <a:effectLst>
                <a:outerShdw blurRad="254000" sx="102000" sy="102000" algn="ctr" rotWithShape="0">
                  <a:prstClr val="black">
                    <a:alpha val="20000"/>
                  </a:prstClr>
                </a:outerShdw>
              </a:effectLst>
            </c:spPr>
          </c:dPt>
          <c:dLbls>
            <c:dLbl>
              <c:idx val="0"/>
              <c:layout>
                <c:manualLayout>
                  <c:x val="-0.0898573726114774"/>
                  <c:y val="0.0883130535105794"/>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基本支出12.54%</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项目支出87.46%</a:t>
                    </a:r>
                  </a:p>
                </c:rich>
              </c:tx>
              <c:dLblPos val="ctr"/>
              <c:showLegendKey val="0"/>
              <c:showVal val="0"/>
              <c:showCatName val="1"/>
              <c:showSerName val="0"/>
              <c:showPercent val="1"/>
              <c:showBubbleSize val="0"/>
              <c:separator>
</c:separator>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0.1254</c:v>
                </c:pt>
                <c:pt idx="1">
                  <c:v>0.8746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82754820936639"/>
          <c:y val="0.0222634474327628"/>
          <c:w val="0.95855"/>
          <c:h val="0.88415"/>
        </c:manualLayout>
      </c:layout>
      <c:barChart>
        <c:barDir val="col"/>
        <c:grouping val="clustered"/>
        <c:varyColors val="0"/>
        <c:ser>
          <c:idx val="0"/>
          <c:order val="0"/>
          <c:tx>
            <c:strRef>
              <c:f>Sheet1!$B$1</c:f>
              <c:strCache>
                <c:ptCount val="1"/>
                <c:pt idx="0">
                  <c:v>年初预算</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收入预算3356.81</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支出预算3356.81</a:t>
                    </a:r>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Sheet1!$A$2:$A$3</c:f>
              <c:strCache>
                <c:ptCount val="2"/>
                <c:pt idx="0">
                  <c:v>收入</c:v>
                </c:pt>
                <c:pt idx="1">
                  <c:v>支出</c:v>
                </c:pt>
              </c:strCache>
            </c:strRef>
          </c:cat>
          <c:val>
            <c:numRef>
              <c:f>Sheet1!$B$2:$B$3</c:f>
              <c:numCache>
                <c:formatCode>General</c:formatCode>
                <c:ptCount val="2"/>
                <c:pt idx="0">
                  <c:v>3356.81</c:v>
                </c:pt>
                <c:pt idx="1">
                  <c:v>3356.81</c:v>
                </c:pt>
              </c:numCache>
            </c:numRef>
          </c:val>
        </c:ser>
        <c:ser>
          <c:idx val="1"/>
          <c:order val="1"/>
          <c:tx>
            <c:strRef>
              <c:f>Sheet1!$C$1</c:f>
              <c:strCache>
                <c:ptCount val="1"/>
                <c:pt idx="0">
                  <c:v>财政拨款</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收入决算3728.81</a:t>
                    </a:r>
                  </a:p>
                </c:rich>
              </c:tx>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00154269972451791"/>
                  <c:y val="0"/>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支出决算37</a:t>
                    </a:r>
                    <a:r>
                      <a:rPr lang="en-US" altLang="zh-CN"/>
                      <a:t>26</a:t>
                    </a:r>
                    <a:r>
                      <a:t>.</a:t>
                    </a:r>
                    <a:r>
                      <a:rPr lang="en-US" altLang="zh-CN"/>
                      <a:t>79</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f>Sheet1!$A$2:$A$3</c:f>
              <c:strCache>
                <c:ptCount val="2"/>
                <c:pt idx="0">
                  <c:v>收入</c:v>
                </c:pt>
                <c:pt idx="1">
                  <c:v>支出</c:v>
                </c:pt>
              </c:strCache>
            </c:strRef>
          </c:cat>
          <c:val>
            <c:numRef>
              <c:f>Sheet1!$C$2:$C$3</c:f>
              <c:numCache>
                <c:formatCode>General</c:formatCode>
                <c:ptCount val="2"/>
                <c:pt idx="0">
                  <c:v>3728.81</c:v>
                </c:pt>
                <c:pt idx="1">
                  <c:v>3753.16</c:v>
                </c:pt>
              </c:numCache>
            </c:numRef>
          </c:val>
        </c:ser>
        <c:ser>
          <c:idx val="2"/>
          <c:order val="2"/>
          <c:tx>
            <c:strRef>
              <c:f>Sheet1!#REF!</c:f>
              <c:strCache>
                <c:ptCount val="1"/>
                <c:pt idx="0">
                  <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164"/>
        <c:overlap val="-22"/>
        <c:axId val="750770874"/>
        <c:axId val="697886751"/>
      </c:barChart>
      <c:catAx>
        <c:axId val="750770874"/>
        <c:scaling>
          <c:orientation val="minMax"/>
        </c:scaling>
        <c:delete val="0"/>
        <c:axPos val="b"/>
        <c:majorTickMark val="none"/>
        <c:minorTickMark val="none"/>
        <c:tickLblPos val="nextTo"/>
        <c:spPr>
          <a:noFill/>
          <a:ln w="19050" cap="flat" cmpd="sng" algn="ctr">
            <a:solidFill>
              <a:schemeClr val="tx1">
                <a:lumMod val="25000"/>
                <a:lumOff val="7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7886751"/>
        <c:crosses val="autoZero"/>
        <c:auto val="1"/>
        <c:lblAlgn val="ctr"/>
        <c:lblOffset val="100"/>
        <c:noMultiLvlLbl val="0"/>
      </c:catAx>
      <c:valAx>
        <c:axId val="697886751"/>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50770874"/>
        <c:crosses val="autoZero"/>
        <c:crossBetween val="between"/>
      </c:valAx>
      <c:spPr>
        <a:noFill/>
        <a:ln>
          <a:noFill/>
        </a:ln>
        <a:effectLst/>
      </c:spPr>
    </c:plotArea>
    <c:legend>
      <c:legendPos val="t"/>
      <c:legendEntry>
        <c:idx val="2"/>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00375"/>
          <c:y val="0.227333333333334"/>
          <c:w val="0.945"/>
          <c:h val="0.760833333333333"/>
        </c:manualLayout>
      </c:layout>
      <c:pie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explosion val="0"/>
            <c:spPr>
              <a:solidFill>
                <a:srgbClr val="4472C4"/>
              </a:solidFill>
              <a:ln>
                <a:noFill/>
              </a:ln>
              <a:effectLst>
                <a:outerShdw blurRad="254000" sx="102000" sy="102000" algn="ctr" rotWithShape="0">
                  <a:prstClr val="black">
                    <a:alpha val="20000"/>
                  </a:prstClr>
                </a:outerShdw>
              </a:effectLst>
            </c:spPr>
          </c:dPt>
          <c:dPt>
            <c:idx val="1"/>
            <c:bubble3D val="0"/>
            <c:explosion val="0"/>
            <c:spPr>
              <a:solidFill>
                <a:srgbClr val="ED7D31"/>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a:scene3d>
                <a:camera prst="orthographicFront"/>
                <a:lightRig rig="threePt" dir="t"/>
              </a:scene3d>
              <a:sp3d contourW="9525"/>
            </c:spPr>
          </c:dPt>
          <c:dPt>
            <c:idx val="3"/>
            <c:bubble3D val="0"/>
            <c:spPr>
              <a:solidFill>
                <a:schemeClr val="accent4"/>
              </a:solidFill>
              <a:ln>
                <a:noFill/>
              </a:ln>
              <a:effectLst>
                <a:outerShdw blurRad="254000" sx="102000" sy="102000" algn="ctr" rotWithShape="0">
                  <a:prstClr val="black">
                    <a:alpha val="20000"/>
                  </a:prstClr>
                </a:outerShdw>
              </a:effectLst>
              <a:scene3d>
                <a:camera prst="orthographicFront"/>
                <a:lightRig rig="threePt" dir="t"/>
              </a:scene3d>
              <a:sp3d contourW="9525"/>
            </c:spPr>
          </c:dPt>
          <c:dPt>
            <c:idx val="4"/>
            <c:bubble3D val="0"/>
            <c:spPr>
              <a:solidFill>
                <a:schemeClr val="accent5"/>
              </a:solidFill>
              <a:ln>
                <a:noFill/>
              </a:ln>
              <a:effectLst>
                <a:outerShdw blurRad="254000" sx="102000" sy="102000" algn="ctr" rotWithShape="0">
                  <a:prstClr val="black">
                    <a:alpha val="20000"/>
                  </a:prstClr>
                </a:outerShdw>
              </a:effectLst>
              <a:scene3d>
                <a:camera prst="orthographicFront"/>
                <a:lightRig rig="threePt" dir="t"/>
              </a:scene3d>
              <a:sp3d contourW="9525"/>
            </c:spPr>
          </c:dPt>
          <c:dPt>
            <c:idx val="5"/>
            <c:bubble3D val="0"/>
            <c:spPr>
              <a:solidFill>
                <a:schemeClr val="accent6"/>
              </a:solidFill>
              <a:ln>
                <a:noFill/>
              </a:ln>
              <a:effectLst>
                <a:outerShdw blurRad="254000" sx="102000" sy="102000" algn="ctr" rotWithShape="0">
                  <a:prstClr val="black">
                    <a:alpha val="20000"/>
                  </a:prstClr>
                </a:outerShdw>
              </a:effectLst>
              <a:scene3d>
                <a:camera prst="orthographicFront"/>
                <a:lightRig rig="threePt" dir="t"/>
              </a:scene3d>
              <a:sp3d contourW="9525"/>
            </c:spPr>
          </c:dPt>
          <c:dLbls>
            <c:dLbl>
              <c:idx val="0"/>
              <c:layout>
                <c:manualLayout>
                  <c:x val="0.0652676273885226"/>
                  <c:y val="0.0951463868439127"/>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ysClr val="window" lastClr="FFFFFF"/>
                        </a:solidFill>
                        <a:latin typeface="+mn-lt"/>
                        <a:ea typeface="+mn-ea"/>
                        <a:cs typeface="+mn-cs"/>
                      </a:defRPr>
                    </a:pPr>
                    <a:r>
                      <a:t>基本支出12.54%</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525897710469671"/>
                  <c:y val="-0.0294002944237268"/>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ysClr val="window" lastClr="FFFFFF"/>
                        </a:solidFill>
                        <a:latin typeface="+mn-lt"/>
                        <a:ea typeface="+mn-ea"/>
                        <a:cs typeface="+mn-cs"/>
                      </a:defRPr>
                    </a:pPr>
                    <a:r>
                      <a:t>项目支出87.46%</a:t>
                    </a:r>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00860468831505"/>
                  <c:y val="-0.18525773824558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78351062842367"/>
                  <c:y val="-0.081447766894629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90509647426185"/>
                  <c:y val="0.035204849396320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0605317134992697"/>
                  <c:y val="-0.068590992580264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ysClr val="window" lastClr="FFFFFF"/>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ysClr val="windowText" lastClr="000000">
                          <a:lumMod val="50000"/>
                          <a:lumOff val="50000"/>
                        </a:sysClr>
                      </a:solidFill>
                    </a:ln>
                    <a:effectLst/>
                  </c:spPr>
                </c15:leaderLines>
              </c:ext>
            </c:extLst>
          </c:dLbls>
          <c:cat>
            <c:strRef>
              <c:f>Sheet1!$A$2:$A$7</c:f>
              <c:strCache>
                <c:ptCount val="6"/>
                <c:pt idx="0">
                  <c:v>一般公共服务（类）支出</c:v>
                </c:pt>
                <c:pt idx="1">
                  <c:v>公共安全类支出</c:v>
                </c:pt>
                <c:pt idx="2">
                  <c:v>文化旅游体育与传媒支出</c:v>
                </c:pt>
                <c:pt idx="3">
                  <c:v>社会保障和就业（类）出</c:v>
                </c:pt>
                <c:pt idx="4">
                  <c:v>卫生健康支出</c:v>
                </c:pt>
                <c:pt idx="5">
                  <c:v>住房保障（类）支出</c:v>
                </c:pt>
              </c:strCache>
            </c:strRef>
          </c:cat>
          <c:val>
            <c:numRef>
              <c:f>Sheet1!$B$2:$B$7</c:f>
              <c:numCache>
                <c:formatCode>0.00%</c:formatCode>
                <c:ptCount val="6"/>
                <c:pt idx="0">
                  <c:v>0.2949</c:v>
                </c:pt>
                <c:pt idx="1">
                  <c:v>0.0172</c:v>
                </c:pt>
                <c:pt idx="2">
                  <c:v>0.6695</c:v>
                </c:pt>
                <c:pt idx="3">
                  <c:v>0.0095</c:v>
                </c:pt>
                <c:pt idx="4">
                  <c:v>0.0052</c:v>
                </c:pt>
                <c:pt idx="5">
                  <c:v>0.0037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737495727469523"/>
          <c:y val="0.125157684630739"/>
        </c:manualLayout>
      </c:layout>
      <c:overlay val="0"/>
      <c:spPr>
        <a:solidFill>
          <a:sysClr val="window" lastClr="FFFFFF">
            <a:lumMod val="95000"/>
            <a:alpha val="39000"/>
          </a:sysClr>
        </a:solid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75000"/>
                  <a:lumOff val="25000"/>
                </a:sysClr>
              </a:solidFill>
              <a:latin typeface="+mn-lt"/>
              <a:ea typeface="+mn-ea"/>
              <a:cs typeface="+mn-cs"/>
            </a:defRPr>
          </a:pPr>
        </a:p>
      </c:txPr>
    </c:legend>
    <c:plotVisOnly val="1"/>
    <c:dispBlanksAs val="gap"/>
    <c:showDLblsOverMax val="0"/>
  </c:chart>
  <c: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ysClr val="windowText" lastClr="000000">
        <a:lumMod val="75000"/>
        <a:lumOff val="25000"/>
      </a:sysClr>
    </cs:fontRef>
    <cs:defRPr sz="900" b="1" kern="1200"/>
  </cs:axisTitle>
  <cs:categoryAxis>
    <cs:lnRef idx="0"/>
    <cs:fillRef idx="0"/>
    <cs:effectRef idx="0"/>
    <cs:fontRef idx="minor">
      <a:sysClr val="windowText" lastClr="000000">
        <a:lumMod val="75000"/>
        <a:lumOff val="25000"/>
      </a:sysClr>
    </cs:fontRef>
    <cs:spPr>
      <a:ln w="19050" cap="flat" cmpd="sng" algn="ctr">
        <a:solidFill>
          <a:sysClr val="windowText" lastClr="000000">
            <a:lumMod val="75000"/>
            <a:lumOff val="25000"/>
          </a:sysClr>
        </a:solidFill>
        <a:round/>
      </a:ln>
    </cs:spPr>
    <cs:defRPr sz="900" kern="1200" cap="all" baseline="0"/>
  </cs:categoryAxis>
  <cs:chartArea>
    <cs:lnRef idx="0"/>
    <cs:fillRef idx="0"/>
    <cs:effectRef idx="0"/>
    <cs:fontRef idx="minor">
      <a:sysClr val="windowText" lastClr="000000"/>
    </cs:fontRef>
    <cs: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cs:spPr>
    <cs:defRPr sz="900" kern="1200"/>
  </cs:chartArea>
  <cs:dataLabel>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ysClr val="windowText" lastClr="000000"/>
    </cs:fontRef>
    <cs:spPr>
      <a:ln w="31750" cap="rnd">
        <a:solidFill>
          <a:schemeClr val="phClr">
            <a:alpha val="85000"/>
          </a:schemeClr>
        </a:solidFill>
        <a:round/>
      </a:ln>
    </cs:spPr>
  </cs:dataPointLine>
  <cs:dataPointMarker>
    <cs:lnRef idx="0"/>
    <cs:fillRef idx="0">
      <cs:styleClr val="auto"/>
    </cs:fillRef>
    <cs:effectRef idx="0"/>
    <cs:fontRef idx="minor">
      <a:sysClr val="windowText" lastClr="000000"/>
    </cs:fontRef>
    <cs:spPr>
      <a:solidFill>
        <a:schemeClr val="phClr">
          <a:alpha val="85000"/>
        </a:schemeClr>
      </a:solidFill>
    </cs:spPr>
  </cs:dataPointMarker>
  <cs:dataPointMarkerLayout symbol="circle" size="6"/>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75000"/>
        <a:lumOff val="25000"/>
      </a:sysClr>
    </cs:fontRef>
    <cs:spPr>
      <a:ln w="9525">
        <a:solidFill>
          <a:sysClr val="windowText" lastClr="000000">
            <a:lumMod val="35000"/>
            <a:lumOff val="65000"/>
          </a:sysClr>
        </a:solidFill>
      </a:ln>
    </cs:spPr>
    <cs:defRPr sz="900" kern="1200"/>
  </cs:dataTable>
  <cs:downBar>
    <cs:lnRef idx="0"/>
    <cs:fillRef idx="0"/>
    <cs:effectRef idx="0"/>
    <cs:fontRef idx="minor">
      <a:sysClr val="windowText" lastClr="000000"/>
    </cs:fontRef>
    <cs:spPr>
      <a:solidFill>
        <a:sysClr val="windowText" lastClr="000000">
          <a:lumMod val="50000"/>
          <a:lumOff val="50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a:solidFill>
          <a:sysClr val="windowText" lastClr="000000">
            <a:lumMod val="35000"/>
            <a:lumOff val="65000"/>
          </a:sysClr>
        </a:solidFill>
        <a:prstDash val="dash"/>
      </a:ln>
    </cs:spPr>
  </cs:dropLine>
  <cs:errorBar>
    <cs:lnRef idx="0"/>
    <cs:fillRef idx="0"/>
    <cs:effectRef idx="0"/>
    <cs:fontRef idx="minor">
      <a:sysClr val="windowText" lastClr="000000"/>
    </cs:fontRef>
    <cs:spPr>
      <a:ln w="9525">
        <a:solidFill>
          <a:sysClr val="windowText" lastClr="000000">
            <a:lumMod val="65000"/>
            <a:lumOff val="35000"/>
          </a:sysClr>
        </a:solidFill>
        <a:round/>
      </a:ln>
    </cs:spPr>
  </cs:errorBar>
  <cs:floor>
    <cs:lnRef idx="0"/>
    <cs:fillRef idx="0"/>
    <cs:effectRef idx="0"/>
    <cs:fontRef idx="minor">
      <a:sysClr val="windowText" lastClr="000000"/>
    </cs:fontRef>
  </cs:floor>
  <cs:gridlineMajor>
    <cs:lnRef idx="0"/>
    <cs:fillRef idx="0"/>
    <cs:effectRef idx="0"/>
    <cs:fontRef idx="minor">
      <a:sysClr val="windowText" lastClr="000000"/>
    </cs:fontRef>
    <cs:spPr>
      <a:ln w="9525" cap="flat" cmpd="sng" algn="ctr">
        <a:gradFill>
          <a:gsLst>
            <a:gs pos="100000">
              <a:sysClr val="windowText" lastClr="000000">
                <a:lumMod val="95000"/>
                <a:lumOff val="5000"/>
                <a:alpha val="42000"/>
              </a:sysClr>
            </a:gs>
            <a:gs pos="0">
              <a:sysClr val="window" lastClr="FFFFFF">
                <a:lumMod val="75000"/>
                <a:alpha val="36000"/>
              </a:sysClr>
            </a:gs>
          </a:gsLst>
          <a:lin ang="5400000" scaled="0"/>
        </a:gradFill>
        <a:round/>
      </a:ln>
    </cs:spPr>
  </cs:gridlineMajor>
  <cs:gridlineMinor>
    <cs:lnRef idx="0"/>
    <cs:fillRef idx="0"/>
    <cs:effectRef idx="0"/>
    <cs:fontRef idx="minor">
      <a:sysClr val="windowText" lastClr="000000"/>
    </cs:fontRef>
    <cs:spPr>
      <a:ln>
        <a:gradFill>
          <a:gsLst>
            <a:gs pos="100000">
              <a:sysClr val="windowText" lastClr="000000">
                <a:lumMod val="95000"/>
                <a:lumOff val="5000"/>
                <a:alpha val="42000"/>
              </a:sysClr>
            </a:gs>
            <a:gs pos="0">
              <a:sysClr val="window" lastClr="FFFFFF">
                <a:lumMod val="75000"/>
                <a:alpha val="36000"/>
              </a:sysClr>
            </a:gs>
          </a:gsLst>
          <a:lin ang="5400000" scaled="0"/>
        </a:gradFill>
      </a:ln>
    </cs:spPr>
  </cs:gridlineMinor>
  <cs:hiLoLine>
    <cs:lnRef idx="0"/>
    <cs:fillRef idx="0"/>
    <cs:effectRef idx="0"/>
    <cs:fontRef idx="minor">
      <a:sysClr val="windowText" lastClr="000000"/>
    </cs:fontRef>
    <cs:spPr>
      <a:ln w="9525">
        <a:solidFill>
          <a:sysClr val="windowText" lastClr="000000">
            <a:lumMod val="35000"/>
            <a:lumOff val="65000"/>
          </a:sysClr>
        </a:solidFill>
        <a:prstDash val="dash"/>
      </a:ln>
    </cs:spPr>
  </cs:hiLoLine>
  <cs:leaderLine>
    <cs:lnRef idx="0"/>
    <cs:fillRef idx="0"/>
    <cs:effectRef idx="0"/>
    <cs:fontRef idx="minor">
      <a:sysClr val="windowText" lastClr="000000"/>
    </cs:fontRef>
    <cs:spPr>
      <a:ln w="9525">
        <a:solidFill>
          <a:sysClr val="windowText" lastClr="000000">
            <a:lumMod val="50000"/>
            <a:lumOff val="50000"/>
          </a:sysClr>
        </a:solidFill>
      </a:ln>
    </cs:spPr>
  </cs:leaderLine>
  <cs:legend>
    <cs:lnRef idx="0"/>
    <cs:fillRef idx="0"/>
    <cs:effectRef idx="0"/>
    <cs:fontRef idx="minor">
      <a:sysClr val="windowText" lastClr="000000">
        <a:lumMod val="75000"/>
        <a:lumOff val="25000"/>
      </a:sysClr>
    </cs:fontRef>
    <cs:spPr>
      <a:solidFill>
        <a:sysClr val="window" lastClr="FFFFFF">
          <a:lumMod val="95000"/>
          <a:alpha val="39000"/>
        </a:sysClr>
      </a:solidFill>
    </cs:spPr>
    <cs:defRPr sz="900" kern="1200"/>
  </cs:legend>
  <cs:plotArea>
    <cs:lnRef idx="0"/>
    <cs:fillRef idx="0"/>
    <cs:effectRef idx="0"/>
    <cs:fontRef idx="minor">
      <a:sysClr val="windowText" lastClr="000000"/>
    </cs:fontRef>
  </cs:plotArea>
  <cs:plotArea3D>
    <cs:lnRef idx="0"/>
    <cs:fillRef idx="0"/>
    <cs:effectRef idx="0"/>
    <cs:fontRef idx="minor">
      <a:sysClr val="windowText" lastClr="000000"/>
    </cs:fontRef>
  </cs:plotArea3D>
  <cs:seriesAxis>
    <cs:lnRef idx="0"/>
    <cs:fillRef idx="0"/>
    <cs:effectRef idx="0"/>
    <cs:fontRef idx="minor">
      <a:sysClr val="windowText" lastClr="000000">
        <a:lumMod val="75000"/>
        <a:lumOff val="25000"/>
      </a:sysClr>
    </cs:fontRef>
    <cs:spPr>
      <a:ln w="31750" cap="flat" cmpd="sng" algn="ctr">
        <a:solidFill>
          <a:sysClr val="windowText" lastClr="000000">
            <a:lumMod val="75000"/>
            <a:lumOff val="25000"/>
          </a:sysClr>
        </a:solidFill>
        <a:round/>
      </a:ln>
    </cs:spPr>
    <cs:defRPr sz="900" kern="1200"/>
  </cs:seriesAxis>
  <cs:seriesLine>
    <cs:lnRef idx="0"/>
    <cs:fillRef idx="0"/>
    <cs:effectRef idx="0"/>
    <cs:fontRef idx="minor">
      <a:sysClr val="windowText" lastClr="000000"/>
    </cs:fontRef>
    <cs:spPr>
      <a:ln w="9525">
        <a:solidFill>
          <a:sysClr val="windowText" lastClr="000000">
            <a:lumMod val="50000"/>
            <a:lumOff val="50000"/>
          </a:sysClr>
        </a:solidFill>
        <a:round/>
      </a:ln>
    </cs:spPr>
  </cs:seriesLine>
  <cs:title>
    <cs:lnRef idx="0"/>
    <cs:fillRef idx="0"/>
    <cs:effectRef idx="0"/>
    <cs:fontRef idx="minor">
      <a:sysClr val="windowText" lastClr="000000">
        <a:lumMod val="75000"/>
        <a:lumOff val="25000"/>
      </a:sysClr>
    </cs:fontRef>
    <cs:defRPr sz="1800" b="1" kern="1200" baseline="0"/>
  </cs:title>
  <cs:trendline>
    <cs:lnRef idx="0">
      <cs:styleClr val="auto"/>
    </cs:lnRef>
    <cs:fillRef idx="0"/>
    <cs:effectRef idx="0"/>
    <cs:fontRef idx="minor">
      <a:sysClr val="windowText" lastClr="000000"/>
    </cs:fontRef>
    <cs:spPr>
      <a:ln w="19050" cap="rnd">
        <a:solidFill>
          <a:schemeClr val="phClr"/>
        </a:solidFill>
      </a:ln>
    </cs:spPr>
  </cs:trendline>
  <cs:trendlineLabel>
    <cs:lnRef idx="0"/>
    <cs:fillRef idx="0"/>
    <cs:effectRef idx="0"/>
    <cs:fontRef idx="minor">
      <a:sysClr val="windowText" lastClr="000000">
        <a:lumMod val="75000"/>
        <a:lumOff val="2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65000"/>
            <a:lumOff val="35000"/>
          </a:sysClr>
        </a:solidFill>
      </a:ln>
    </cs:spPr>
  </cs:upBar>
  <cs:valueAxis>
    <cs:lnRef idx="0"/>
    <cs:fillRef idx="0"/>
    <cs:effectRef idx="0"/>
    <cs:fontRef idx="minor">
      <a:sysClr val="windowText" lastClr="000000">
        <a:lumMod val="75000"/>
        <a:lumOff val="25000"/>
      </a:sysClr>
    </cs:fontRef>
    <cs:spPr>
      <a:ln>
        <a:noFill/>
      </a:ln>
    </cs:spPr>
    <cs:defRPr sz="900" kern="1200"/>
  </cs:valueAxis>
  <cs:wall>
    <cs:lnRef idx="0"/>
    <cs:fillRef idx="0"/>
    <cs:effectRef idx="0"/>
    <cs:fontRef idx="minor">
      <a:sysClr val="windowText" lastClr="000000"/>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37</Pages>
  <Words>9426</Words>
  <Characters>11942</Characters>
  <Lines>78</Lines>
  <Paragraphs>22</Paragraphs>
  <TotalTime>146</TotalTime>
  <ScaleCrop>false</ScaleCrop>
  <LinksUpToDate>false</LinksUpToDate>
  <CharactersWithSpaces>12307</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2020-11-05T06:11:00Z</cp:lastPrinted>
  <dcterms:modified xsi:type="dcterms:W3CDTF">2025-04-28T03:25:30Z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CD5886BFE05745B48BF2541EC8BE6D61</vt:lpwstr>
  </property>
</Properties>
</file>