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418.00</w:t>
            </w:r>
          </w:p>
        </w:tc>
        <w:tc>
          <w:tcPr>
            <w:tcW w:w="4535" w:type="dxa"/>
            <w:vAlign w:val="center"/>
          </w:tcPr>
          <w:p>
            <w:pPr>
              <w:pStyle w:val="13"/>
            </w:pPr>
            <w:r>
              <w:t>一、一般公共服务支出</w:t>
            </w:r>
          </w:p>
        </w:tc>
        <w:tc>
          <w:tcPr>
            <w:tcW w:w="2126" w:type="dxa"/>
            <w:vAlign w:val="center"/>
          </w:tcPr>
          <w:p>
            <w:pPr>
              <w:pStyle w:val="12"/>
            </w:pPr>
            <w:r>
              <w:t>277.09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98.04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25.87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418.00</w:t>
            </w:r>
          </w:p>
        </w:tc>
        <w:tc>
          <w:tcPr>
            <w:tcW w:w="4535" w:type="dxa"/>
            <w:vAlign w:val="center"/>
          </w:tcPr>
          <w:p>
            <w:pPr>
              <w:pStyle w:val="15"/>
            </w:pPr>
            <w:r>
              <w:t>本年支出合计</w:t>
            </w:r>
          </w:p>
        </w:tc>
        <w:tc>
          <w:tcPr>
            <w:tcW w:w="2126" w:type="dxa"/>
            <w:vAlign w:val="center"/>
          </w:tcPr>
          <w:p>
            <w:pPr>
              <w:pStyle w:val="16"/>
            </w:pPr>
            <w:r>
              <w:t>420.00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2.00</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420.00</w:t>
            </w:r>
          </w:p>
        </w:tc>
        <w:tc>
          <w:tcPr>
            <w:tcW w:w="4535" w:type="dxa"/>
            <w:vAlign w:val="center"/>
          </w:tcPr>
          <w:p>
            <w:pPr>
              <w:pStyle w:val="15"/>
            </w:pPr>
            <w:r>
              <w:t>支出总计</w:t>
            </w:r>
          </w:p>
        </w:tc>
        <w:tc>
          <w:tcPr>
            <w:tcW w:w="2126" w:type="dxa"/>
            <w:vAlign w:val="center"/>
          </w:tcPr>
          <w:p>
            <w:pPr>
              <w:pStyle w:val="16"/>
            </w:pPr>
            <w:r>
              <w:t>420.00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420.00</w:t>
            </w:r>
          </w:p>
        </w:tc>
        <w:tc>
          <w:tcPr>
            <w:tcW w:w="1134" w:type="dxa"/>
            <w:vAlign w:val="center"/>
          </w:tcPr>
          <w:p>
            <w:pPr>
              <w:pStyle w:val="16"/>
            </w:pPr>
            <w:r>
              <w:t>418.00</w:t>
            </w:r>
          </w:p>
        </w:tc>
        <w:tc>
          <w:tcPr>
            <w:tcW w:w="1134" w:type="dxa"/>
            <w:vAlign w:val="center"/>
          </w:tcPr>
          <w:p>
            <w:pPr>
              <w:pStyle w:val="16"/>
            </w:pPr>
            <w:r>
              <w:t>418.00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277.09</w:t>
            </w:r>
          </w:p>
        </w:tc>
        <w:tc>
          <w:tcPr>
            <w:tcW w:w="1134" w:type="dxa"/>
            <w:vAlign w:val="center"/>
          </w:tcPr>
          <w:p>
            <w:pPr>
              <w:pStyle w:val="12"/>
            </w:pPr>
            <w:r>
              <w:t>275.09</w:t>
            </w:r>
          </w:p>
        </w:tc>
        <w:tc>
          <w:tcPr>
            <w:tcW w:w="1134" w:type="dxa"/>
            <w:vAlign w:val="center"/>
          </w:tcPr>
          <w:p>
            <w:pPr>
              <w:pStyle w:val="12"/>
            </w:pPr>
            <w:r>
              <w:t>275.09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20134</w:t>
            </w:r>
          </w:p>
        </w:tc>
        <w:tc>
          <w:tcPr>
            <w:tcW w:w="1559" w:type="dxa"/>
            <w:vAlign w:val="center"/>
          </w:tcPr>
          <w:p>
            <w:pPr>
              <w:pStyle w:val="13"/>
            </w:pPr>
            <w:r>
              <w:t>统战事务</w:t>
            </w:r>
          </w:p>
        </w:tc>
        <w:tc>
          <w:tcPr>
            <w:tcW w:w="1134" w:type="dxa"/>
            <w:vAlign w:val="center"/>
          </w:tcPr>
          <w:p>
            <w:pPr>
              <w:pStyle w:val="12"/>
            </w:pPr>
            <w:r>
              <w:t>277.09</w:t>
            </w:r>
          </w:p>
        </w:tc>
        <w:tc>
          <w:tcPr>
            <w:tcW w:w="1134" w:type="dxa"/>
            <w:vAlign w:val="center"/>
          </w:tcPr>
          <w:p>
            <w:pPr>
              <w:pStyle w:val="12"/>
            </w:pPr>
            <w:r>
              <w:t>275.09</w:t>
            </w:r>
          </w:p>
        </w:tc>
        <w:tc>
          <w:tcPr>
            <w:tcW w:w="1134" w:type="dxa"/>
            <w:vAlign w:val="center"/>
          </w:tcPr>
          <w:p>
            <w:pPr>
              <w:pStyle w:val="12"/>
            </w:pPr>
            <w:r>
              <w:t>275.09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2013401</w:t>
            </w:r>
          </w:p>
        </w:tc>
        <w:tc>
          <w:tcPr>
            <w:tcW w:w="1559" w:type="dxa"/>
            <w:vAlign w:val="center"/>
          </w:tcPr>
          <w:p>
            <w:pPr>
              <w:pStyle w:val="13"/>
            </w:pPr>
            <w:r>
              <w:t>行政运行</w:t>
            </w:r>
          </w:p>
        </w:tc>
        <w:tc>
          <w:tcPr>
            <w:tcW w:w="1134" w:type="dxa"/>
            <w:vAlign w:val="center"/>
          </w:tcPr>
          <w:p>
            <w:pPr>
              <w:pStyle w:val="12"/>
            </w:pPr>
            <w:r>
              <w:t>237.09</w:t>
            </w:r>
          </w:p>
        </w:tc>
        <w:tc>
          <w:tcPr>
            <w:tcW w:w="1134" w:type="dxa"/>
            <w:vAlign w:val="center"/>
          </w:tcPr>
          <w:p>
            <w:pPr>
              <w:pStyle w:val="12"/>
            </w:pPr>
            <w:r>
              <w:t>237.09</w:t>
            </w:r>
          </w:p>
        </w:tc>
        <w:tc>
          <w:tcPr>
            <w:tcW w:w="1134" w:type="dxa"/>
            <w:vAlign w:val="center"/>
          </w:tcPr>
          <w:p>
            <w:pPr>
              <w:pStyle w:val="12"/>
            </w:pPr>
            <w:r>
              <w:t>237.09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2013402</w:t>
            </w:r>
          </w:p>
        </w:tc>
        <w:tc>
          <w:tcPr>
            <w:tcW w:w="1559" w:type="dxa"/>
            <w:vAlign w:val="center"/>
          </w:tcPr>
          <w:p>
            <w:pPr>
              <w:pStyle w:val="13"/>
            </w:pPr>
            <w:r>
              <w:t>一般行政管理事务</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r>
              <w:t>24.00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2013404</w:t>
            </w:r>
          </w:p>
        </w:tc>
        <w:tc>
          <w:tcPr>
            <w:tcW w:w="1559" w:type="dxa"/>
            <w:vAlign w:val="center"/>
          </w:tcPr>
          <w:p>
            <w:pPr>
              <w:pStyle w:val="13"/>
            </w:pPr>
            <w:r>
              <w:t>宗教事务</w:t>
            </w:r>
          </w:p>
        </w:tc>
        <w:tc>
          <w:tcPr>
            <w:tcW w:w="1134" w:type="dxa"/>
            <w:vAlign w:val="center"/>
          </w:tcPr>
          <w:p>
            <w:pPr>
              <w:pStyle w:val="12"/>
            </w:pPr>
            <w:r>
              <w:t>12.00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2013405</w:t>
            </w:r>
          </w:p>
        </w:tc>
        <w:tc>
          <w:tcPr>
            <w:tcW w:w="1559" w:type="dxa"/>
            <w:vAlign w:val="center"/>
          </w:tcPr>
          <w:p>
            <w:pPr>
              <w:pStyle w:val="13"/>
            </w:pPr>
            <w:r>
              <w:t>华侨事务</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r>
              <w:t>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98.04</w:t>
            </w:r>
          </w:p>
        </w:tc>
        <w:tc>
          <w:tcPr>
            <w:tcW w:w="1134" w:type="dxa"/>
            <w:vAlign w:val="center"/>
          </w:tcPr>
          <w:p>
            <w:pPr>
              <w:pStyle w:val="12"/>
            </w:pPr>
            <w:r>
              <w:t>98.04</w:t>
            </w:r>
          </w:p>
        </w:tc>
        <w:tc>
          <w:tcPr>
            <w:tcW w:w="1134" w:type="dxa"/>
            <w:vAlign w:val="center"/>
          </w:tcPr>
          <w:p>
            <w:pPr>
              <w:pStyle w:val="12"/>
            </w:pPr>
            <w:r>
              <w:t>98.04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80.31</w:t>
            </w:r>
          </w:p>
        </w:tc>
        <w:tc>
          <w:tcPr>
            <w:tcW w:w="1134" w:type="dxa"/>
            <w:vAlign w:val="center"/>
          </w:tcPr>
          <w:p>
            <w:pPr>
              <w:pStyle w:val="12"/>
            </w:pPr>
            <w:r>
              <w:t>80.31</w:t>
            </w:r>
          </w:p>
        </w:tc>
        <w:tc>
          <w:tcPr>
            <w:tcW w:w="1134" w:type="dxa"/>
            <w:vAlign w:val="center"/>
          </w:tcPr>
          <w:p>
            <w:pPr>
              <w:pStyle w:val="12"/>
            </w:pPr>
            <w:r>
              <w:t>80.31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54.23</w:t>
            </w:r>
          </w:p>
        </w:tc>
        <w:tc>
          <w:tcPr>
            <w:tcW w:w="1134" w:type="dxa"/>
            <w:vAlign w:val="center"/>
          </w:tcPr>
          <w:p>
            <w:pPr>
              <w:pStyle w:val="12"/>
            </w:pPr>
            <w:r>
              <w:t>54.23</w:t>
            </w:r>
          </w:p>
        </w:tc>
        <w:tc>
          <w:tcPr>
            <w:tcW w:w="1134" w:type="dxa"/>
            <w:vAlign w:val="center"/>
          </w:tcPr>
          <w:p>
            <w:pPr>
              <w:pStyle w:val="12"/>
            </w:pPr>
            <w:r>
              <w:t>54.23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26.08</w:t>
            </w:r>
          </w:p>
        </w:tc>
        <w:tc>
          <w:tcPr>
            <w:tcW w:w="1134" w:type="dxa"/>
            <w:vAlign w:val="center"/>
          </w:tcPr>
          <w:p>
            <w:pPr>
              <w:pStyle w:val="12"/>
            </w:pPr>
            <w:r>
              <w:t>26.08</w:t>
            </w:r>
          </w:p>
        </w:tc>
        <w:tc>
          <w:tcPr>
            <w:tcW w:w="1134" w:type="dxa"/>
            <w:vAlign w:val="center"/>
          </w:tcPr>
          <w:p>
            <w:pPr>
              <w:pStyle w:val="12"/>
            </w:pPr>
            <w:r>
              <w:t>26.08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17.73</w:t>
            </w:r>
          </w:p>
        </w:tc>
        <w:tc>
          <w:tcPr>
            <w:tcW w:w="1134" w:type="dxa"/>
            <w:vAlign w:val="center"/>
          </w:tcPr>
          <w:p>
            <w:pPr>
              <w:pStyle w:val="12"/>
            </w:pPr>
            <w:r>
              <w:t>17.73</w:t>
            </w:r>
          </w:p>
        </w:tc>
        <w:tc>
          <w:tcPr>
            <w:tcW w:w="1134" w:type="dxa"/>
            <w:vAlign w:val="center"/>
          </w:tcPr>
          <w:p>
            <w:pPr>
              <w:pStyle w:val="12"/>
            </w:pPr>
            <w:r>
              <w:t>17.73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17.73</w:t>
            </w:r>
          </w:p>
        </w:tc>
        <w:tc>
          <w:tcPr>
            <w:tcW w:w="1134" w:type="dxa"/>
            <w:vAlign w:val="center"/>
          </w:tcPr>
          <w:p>
            <w:pPr>
              <w:pStyle w:val="12"/>
            </w:pPr>
            <w:r>
              <w:t>17.73</w:t>
            </w:r>
          </w:p>
        </w:tc>
        <w:tc>
          <w:tcPr>
            <w:tcW w:w="1134" w:type="dxa"/>
            <w:vAlign w:val="center"/>
          </w:tcPr>
          <w:p>
            <w:pPr>
              <w:pStyle w:val="12"/>
            </w:pPr>
            <w:r>
              <w:t>17.73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r>
              <w:t>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25.87</w:t>
            </w:r>
          </w:p>
        </w:tc>
        <w:tc>
          <w:tcPr>
            <w:tcW w:w="1134" w:type="dxa"/>
            <w:vAlign w:val="center"/>
          </w:tcPr>
          <w:p>
            <w:pPr>
              <w:pStyle w:val="12"/>
            </w:pPr>
            <w:r>
              <w:t>25.87</w:t>
            </w:r>
          </w:p>
        </w:tc>
        <w:tc>
          <w:tcPr>
            <w:tcW w:w="1134" w:type="dxa"/>
            <w:vAlign w:val="center"/>
          </w:tcPr>
          <w:p>
            <w:pPr>
              <w:pStyle w:val="12"/>
            </w:pPr>
            <w:r>
              <w:t>25.87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25.87</w:t>
            </w:r>
          </w:p>
        </w:tc>
        <w:tc>
          <w:tcPr>
            <w:tcW w:w="1134" w:type="dxa"/>
            <w:vAlign w:val="center"/>
          </w:tcPr>
          <w:p>
            <w:pPr>
              <w:pStyle w:val="12"/>
            </w:pPr>
            <w:r>
              <w:t>25.87</w:t>
            </w:r>
          </w:p>
        </w:tc>
        <w:tc>
          <w:tcPr>
            <w:tcW w:w="1134" w:type="dxa"/>
            <w:vAlign w:val="center"/>
          </w:tcPr>
          <w:p>
            <w:pPr>
              <w:pStyle w:val="12"/>
            </w:pPr>
            <w:r>
              <w:t>25.87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25.87</w:t>
            </w:r>
          </w:p>
        </w:tc>
        <w:tc>
          <w:tcPr>
            <w:tcW w:w="1134" w:type="dxa"/>
            <w:vAlign w:val="center"/>
          </w:tcPr>
          <w:p>
            <w:pPr>
              <w:pStyle w:val="12"/>
            </w:pPr>
            <w:r>
              <w:t>25.87</w:t>
            </w:r>
          </w:p>
        </w:tc>
        <w:tc>
          <w:tcPr>
            <w:tcW w:w="1134" w:type="dxa"/>
            <w:vAlign w:val="center"/>
          </w:tcPr>
          <w:p>
            <w:pPr>
              <w:pStyle w:val="12"/>
            </w:pPr>
            <w:r>
              <w:t>25.87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420.00</w:t>
            </w:r>
          </w:p>
        </w:tc>
        <w:tc>
          <w:tcPr>
            <w:tcW w:w="1361" w:type="dxa"/>
            <w:vAlign w:val="center"/>
          </w:tcPr>
          <w:p>
            <w:pPr>
              <w:pStyle w:val="16"/>
            </w:pPr>
            <w:r>
              <w:t>362.27</w:t>
            </w:r>
          </w:p>
        </w:tc>
        <w:tc>
          <w:tcPr>
            <w:tcW w:w="1361" w:type="dxa"/>
            <w:vAlign w:val="center"/>
          </w:tcPr>
          <w:p>
            <w:pPr>
              <w:pStyle w:val="16"/>
            </w:pPr>
            <w:r>
              <w:t>57.73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277.09</w:t>
            </w:r>
          </w:p>
        </w:tc>
        <w:tc>
          <w:tcPr>
            <w:tcW w:w="1361" w:type="dxa"/>
            <w:vAlign w:val="center"/>
          </w:tcPr>
          <w:p>
            <w:pPr>
              <w:pStyle w:val="12"/>
            </w:pPr>
            <w:r>
              <w:t>237.09</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20134</w:t>
            </w:r>
          </w:p>
        </w:tc>
        <w:tc>
          <w:tcPr>
            <w:tcW w:w="4535" w:type="dxa"/>
            <w:vAlign w:val="center"/>
          </w:tcPr>
          <w:p>
            <w:pPr>
              <w:pStyle w:val="13"/>
            </w:pPr>
            <w:r>
              <w:t>统战事务</w:t>
            </w:r>
          </w:p>
        </w:tc>
        <w:tc>
          <w:tcPr>
            <w:tcW w:w="1361" w:type="dxa"/>
            <w:vAlign w:val="center"/>
          </w:tcPr>
          <w:p>
            <w:pPr>
              <w:pStyle w:val="12"/>
            </w:pPr>
            <w:r>
              <w:t>277.09</w:t>
            </w:r>
          </w:p>
        </w:tc>
        <w:tc>
          <w:tcPr>
            <w:tcW w:w="1361" w:type="dxa"/>
            <w:vAlign w:val="center"/>
          </w:tcPr>
          <w:p>
            <w:pPr>
              <w:pStyle w:val="12"/>
            </w:pPr>
            <w:r>
              <w:t>237.09</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2013401</w:t>
            </w:r>
          </w:p>
        </w:tc>
        <w:tc>
          <w:tcPr>
            <w:tcW w:w="4535" w:type="dxa"/>
            <w:vAlign w:val="center"/>
          </w:tcPr>
          <w:p>
            <w:pPr>
              <w:pStyle w:val="13"/>
            </w:pPr>
            <w:r>
              <w:t>行政运行</w:t>
            </w:r>
          </w:p>
        </w:tc>
        <w:tc>
          <w:tcPr>
            <w:tcW w:w="1361" w:type="dxa"/>
            <w:vAlign w:val="center"/>
          </w:tcPr>
          <w:p>
            <w:pPr>
              <w:pStyle w:val="12"/>
            </w:pPr>
            <w:r>
              <w:t>237.09</w:t>
            </w:r>
          </w:p>
        </w:tc>
        <w:tc>
          <w:tcPr>
            <w:tcW w:w="1361" w:type="dxa"/>
            <w:vAlign w:val="center"/>
          </w:tcPr>
          <w:p>
            <w:pPr>
              <w:pStyle w:val="12"/>
            </w:pPr>
            <w:r>
              <w:t>237.09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2013402</w:t>
            </w:r>
          </w:p>
        </w:tc>
        <w:tc>
          <w:tcPr>
            <w:tcW w:w="4535" w:type="dxa"/>
            <w:vAlign w:val="center"/>
          </w:tcPr>
          <w:p>
            <w:pPr>
              <w:pStyle w:val="13"/>
            </w:pPr>
            <w:r>
              <w:t>一般行政管理事务</w:t>
            </w: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r>
              <w:t>24.00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2013404</w:t>
            </w:r>
          </w:p>
        </w:tc>
        <w:tc>
          <w:tcPr>
            <w:tcW w:w="4535" w:type="dxa"/>
            <w:vAlign w:val="center"/>
          </w:tcPr>
          <w:p>
            <w:pPr>
              <w:pStyle w:val="13"/>
            </w:pPr>
            <w:r>
              <w:t>宗教事务</w:t>
            </w: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r>
              <w:t>12.00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2013405</w:t>
            </w:r>
          </w:p>
        </w:tc>
        <w:tc>
          <w:tcPr>
            <w:tcW w:w="4535" w:type="dxa"/>
            <w:vAlign w:val="center"/>
          </w:tcPr>
          <w:p>
            <w:pPr>
              <w:pStyle w:val="13"/>
            </w:pPr>
            <w:r>
              <w:t>华侨事务</w:t>
            </w: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r>
              <w:t>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98.04</w:t>
            </w:r>
          </w:p>
        </w:tc>
        <w:tc>
          <w:tcPr>
            <w:tcW w:w="1361" w:type="dxa"/>
            <w:vAlign w:val="center"/>
          </w:tcPr>
          <w:p>
            <w:pPr>
              <w:pStyle w:val="12"/>
            </w:pPr>
            <w:r>
              <w:t>80.31</w:t>
            </w:r>
          </w:p>
        </w:tc>
        <w:tc>
          <w:tcPr>
            <w:tcW w:w="1361" w:type="dxa"/>
            <w:vAlign w:val="center"/>
          </w:tcPr>
          <w:p>
            <w:pPr>
              <w:pStyle w:val="12"/>
            </w:pPr>
            <w:r>
              <w:t>17.73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80.31</w:t>
            </w:r>
          </w:p>
        </w:tc>
        <w:tc>
          <w:tcPr>
            <w:tcW w:w="1361" w:type="dxa"/>
            <w:vAlign w:val="center"/>
          </w:tcPr>
          <w:p>
            <w:pPr>
              <w:pStyle w:val="12"/>
            </w:pPr>
            <w:r>
              <w:t>80.31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54.23</w:t>
            </w:r>
          </w:p>
        </w:tc>
        <w:tc>
          <w:tcPr>
            <w:tcW w:w="1361" w:type="dxa"/>
            <w:vAlign w:val="center"/>
          </w:tcPr>
          <w:p>
            <w:pPr>
              <w:pStyle w:val="12"/>
            </w:pPr>
            <w:r>
              <w:t>54.23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26.08</w:t>
            </w:r>
          </w:p>
        </w:tc>
        <w:tc>
          <w:tcPr>
            <w:tcW w:w="1361" w:type="dxa"/>
            <w:vAlign w:val="center"/>
          </w:tcPr>
          <w:p>
            <w:pPr>
              <w:pStyle w:val="12"/>
            </w:pPr>
            <w:r>
              <w:t>26.08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17.73</w:t>
            </w:r>
          </w:p>
        </w:tc>
        <w:tc>
          <w:tcPr>
            <w:tcW w:w="1361" w:type="dxa"/>
            <w:vAlign w:val="center"/>
          </w:tcPr>
          <w:p>
            <w:pPr>
              <w:pStyle w:val="12"/>
            </w:pPr>
          </w:p>
        </w:tc>
        <w:tc>
          <w:tcPr>
            <w:tcW w:w="1361" w:type="dxa"/>
            <w:vAlign w:val="center"/>
          </w:tcPr>
          <w:p>
            <w:pPr>
              <w:pStyle w:val="12"/>
            </w:pPr>
            <w:r>
              <w:t>17.73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17.73</w:t>
            </w:r>
          </w:p>
        </w:tc>
        <w:tc>
          <w:tcPr>
            <w:tcW w:w="1361" w:type="dxa"/>
            <w:vAlign w:val="center"/>
          </w:tcPr>
          <w:p>
            <w:pPr>
              <w:pStyle w:val="12"/>
            </w:pPr>
          </w:p>
        </w:tc>
        <w:tc>
          <w:tcPr>
            <w:tcW w:w="1361" w:type="dxa"/>
            <w:vAlign w:val="center"/>
          </w:tcPr>
          <w:p>
            <w:pPr>
              <w:pStyle w:val="12"/>
            </w:pPr>
            <w:r>
              <w:t>17.73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19.00</w:t>
            </w:r>
          </w:p>
        </w:tc>
        <w:tc>
          <w:tcPr>
            <w:tcW w:w="1361" w:type="dxa"/>
            <w:vAlign w:val="center"/>
          </w:tcPr>
          <w:p>
            <w:pPr>
              <w:pStyle w:val="12"/>
            </w:pPr>
            <w:r>
              <w:t>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25.87</w:t>
            </w:r>
          </w:p>
        </w:tc>
        <w:tc>
          <w:tcPr>
            <w:tcW w:w="1361" w:type="dxa"/>
            <w:vAlign w:val="center"/>
          </w:tcPr>
          <w:p>
            <w:pPr>
              <w:pStyle w:val="12"/>
            </w:pPr>
            <w:r>
              <w:t>25.87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25.87</w:t>
            </w:r>
          </w:p>
        </w:tc>
        <w:tc>
          <w:tcPr>
            <w:tcW w:w="1361" w:type="dxa"/>
            <w:vAlign w:val="center"/>
          </w:tcPr>
          <w:p>
            <w:pPr>
              <w:pStyle w:val="12"/>
            </w:pPr>
            <w:r>
              <w:t>25.87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25.87</w:t>
            </w:r>
          </w:p>
        </w:tc>
        <w:tc>
          <w:tcPr>
            <w:tcW w:w="1361" w:type="dxa"/>
            <w:vAlign w:val="center"/>
          </w:tcPr>
          <w:p>
            <w:pPr>
              <w:pStyle w:val="12"/>
            </w:pPr>
            <w:r>
              <w:t>25.87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418.00</w:t>
            </w:r>
          </w:p>
        </w:tc>
        <w:tc>
          <w:tcPr>
            <w:tcW w:w="3402" w:type="dxa"/>
            <w:vAlign w:val="center"/>
          </w:tcPr>
          <w:p>
            <w:pPr>
              <w:pStyle w:val="13"/>
            </w:pPr>
            <w:r>
              <w:t>一、一般公共服务支出</w:t>
            </w:r>
          </w:p>
        </w:tc>
        <w:tc>
          <w:tcPr>
            <w:tcW w:w="1474" w:type="dxa"/>
            <w:vAlign w:val="center"/>
          </w:tcPr>
          <w:p>
            <w:pPr>
              <w:pStyle w:val="12"/>
            </w:pPr>
            <w:r>
              <w:t>277.09</w:t>
            </w:r>
          </w:p>
        </w:tc>
        <w:tc>
          <w:tcPr>
            <w:tcW w:w="1474" w:type="dxa"/>
            <w:vAlign w:val="center"/>
          </w:tcPr>
          <w:p>
            <w:pPr>
              <w:pStyle w:val="12"/>
            </w:pPr>
            <w:r>
              <w:t>277.09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98.04</w:t>
            </w:r>
          </w:p>
        </w:tc>
        <w:tc>
          <w:tcPr>
            <w:tcW w:w="1474" w:type="dxa"/>
            <w:vAlign w:val="center"/>
          </w:tcPr>
          <w:p>
            <w:pPr>
              <w:pStyle w:val="12"/>
            </w:pPr>
            <w:r>
              <w:t>98.04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19.00</w:t>
            </w:r>
          </w:p>
        </w:tc>
        <w:tc>
          <w:tcPr>
            <w:tcW w:w="1474" w:type="dxa"/>
            <w:vAlign w:val="center"/>
          </w:tcPr>
          <w:p>
            <w:pPr>
              <w:pStyle w:val="12"/>
            </w:pPr>
            <w:r>
              <w:t>19.00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25.87</w:t>
            </w:r>
          </w:p>
        </w:tc>
        <w:tc>
          <w:tcPr>
            <w:tcW w:w="1474" w:type="dxa"/>
            <w:vAlign w:val="center"/>
          </w:tcPr>
          <w:p>
            <w:pPr>
              <w:pStyle w:val="12"/>
            </w:pPr>
            <w:r>
              <w:t>25.87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418.00</w:t>
            </w:r>
          </w:p>
        </w:tc>
        <w:tc>
          <w:tcPr>
            <w:tcW w:w="3402" w:type="dxa"/>
            <w:vAlign w:val="center"/>
          </w:tcPr>
          <w:p>
            <w:pPr>
              <w:pStyle w:val="15"/>
            </w:pPr>
            <w:r>
              <w:t>本年支出合计</w:t>
            </w:r>
          </w:p>
        </w:tc>
        <w:tc>
          <w:tcPr>
            <w:tcW w:w="1474" w:type="dxa"/>
            <w:vAlign w:val="center"/>
          </w:tcPr>
          <w:p>
            <w:pPr>
              <w:pStyle w:val="16"/>
            </w:pPr>
            <w:r>
              <w:t>420.00</w:t>
            </w:r>
          </w:p>
        </w:tc>
        <w:tc>
          <w:tcPr>
            <w:tcW w:w="1474" w:type="dxa"/>
            <w:vAlign w:val="center"/>
          </w:tcPr>
          <w:p>
            <w:pPr>
              <w:pStyle w:val="16"/>
            </w:pPr>
            <w:r>
              <w:t>420.00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420.00</w:t>
            </w:r>
          </w:p>
        </w:tc>
        <w:tc>
          <w:tcPr>
            <w:tcW w:w="3402" w:type="dxa"/>
            <w:vAlign w:val="center"/>
          </w:tcPr>
          <w:p>
            <w:pPr>
              <w:pStyle w:val="15"/>
            </w:pPr>
            <w:r>
              <w:t>支出总计</w:t>
            </w:r>
          </w:p>
        </w:tc>
        <w:tc>
          <w:tcPr>
            <w:tcW w:w="1474" w:type="dxa"/>
            <w:vAlign w:val="center"/>
          </w:tcPr>
          <w:p>
            <w:pPr>
              <w:pStyle w:val="16"/>
            </w:pPr>
            <w:r>
              <w:t>420.00</w:t>
            </w:r>
          </w:p>
        </w:tc>
        <w:tc>
          <w:tcPr>
            <w:tcW w:w="1474" w:type="dxa"/>
            <w:vAlign w:val="center"/>
          </w:tcPr>
          <w:p>
            <w:pPr>
              <w:pStyle w:val="16"/>
            </w:pPr>
            <w:r>
              <w:t>420.00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420.00</w:t>
            </w:r>
          </w:p>
        </w:tc>
        <w:tc>
          <w:tcPr>
            <w:tcW w:w="2551" w:type="dxa"/>
            <w:vAlign w:val="center"/>
          </w:tcPr>
          <w:p>
            <w:pPr>
              <w:pStyle w:val="16"/>
            </w:pPr>
            <w:r>
              <w:t>362.27</w:t>
            </w:r>
          </w:p>
        </w:tc>
        <w:tc>
          <w:tcPr>
            <w:tcW w:w="2551" w:type="dxa"/>
            <w:vAlign w:val="center"/>
          </w:tcPr>
          <w:p>
            <w:pPr>
              <w:pStyle w:val="16"/>
            </w:pPr>
            <w:r>
              <w:t>57.73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277.09</w:t>
            </w:r>
          </w:p>
        </w:tc>
        <w:tc>
          <w:tcPr>
            <w:tcW w:w="2551" w:type="dxa"/>
            <w:vAlign w:val="center"/>
          </w:tcPr>
          <w:p>
            <w:pPr>
              <w:pStyle w:val="12"/>
            </w:pPr>
            <w:r>
              <w:t>237.09</w:t>
            </w:r>
          </w:p>
        </w:tc>
        <w:tc>
          <w:tcPr>
            <w:tcW w:w="2551"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20134</w:t>
            </w:r>
          </w:p>
        </w:tc>
        <w:tc>
          <w:tcPr>
            <w:tcW w:w="4535" w:type="dxa"/>
            <w:vAlign w:val="center"/>
          </w:tcPr>
          <w:p>
            <w:pPr>
              <w:pStyle w:val="13"/>
            </w:pPr>
            <w:r>
              <w:t>统战事务</w:t>
            </w:r>
          </w:p>
        </w:tc>
        <w:tc>
          <w:tcPr>
            <w:tcW w:w="2551" w:type="dxa"/>
            <w:vAlign w:val="center"/>
          </w:tcPr>
          <w:p>
            <w:pPr>
              <w:pStyle w:val="12"/>
            </w:pPr>
            <w:r>
              <w:t>277.09</w:t>
            </w:r>
          </w:p>
        </w:tc>
        <w:tc>
          <w:tcPr>
            <w:tcW w:w="2551" w:type="dxa"/>
            <w:vAlign w:val="center"/>
          </w:tcPr>
          <w:p>
            <w:pPr>
              <w:pStyle w:val="12"/>
            </w:pPr>
            <w:r>
              <w:t>237.09</w:t>
            </w:r>
          </w:p>
        </w:tc>
        <w:tc>
          <w:tcPr>
            <w:tcW w:w="2551" w:type="dxa"/>
            <w:vAlign w:val="center"/>
          </w:tcPr>
          <w:p>
            <w:pPr>
              <w:pStyle w:val="12"/>
            </w:pPr>
            <w:r>
              <w:t>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2013401</w:t>
            </w:r>
          </w:p>
        </w:tc>
        <w:tc>
          <w:tcPr>
            <w:tcW w:w="4535" w:type="dxa"/>
            <w:vAlign w:val="center"/>
          </w:tcPr>
          <w:p>
            <w:pPr>
              <w:pStyle w:val="13"/>
            </w:pPr>
            <w:r>
              <w:t>行政运行</w:t>
            </w:r>
          </w:p>
        </w:tc>
        <w:tc>
          <w:tcPr>
            <w:tcW w:w="2551" w:type="dxa"/>
            <w:vAlign w:val="center"/>
          </w:tcPr>
          <w:p>
            <w:pPr>
              <w:pStyle w:val="12"/>
            </w:pPr>
            <w:r>
              <w:t>237.09</w:t>
            </w:r>
          </w:p>
        </w:tc>
        <w:tc>
          <w:tcPr>
            <w:tcW w:w="2551" w:type="dxa"/>
            <w:vAlign w:val="center"/>
          </w:tcPr>
          <w:p>
            <w:pPr>
              <w:pStyle w:val="12"/>
            </w:pPr>
            <w:r>
              <w:t>237.09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2013402</w:t>
            </w:r>
          </w:p>
        </w:tc>
        <w:tc>
          <w:tcPr>
            <w:tcW w:w="4535" w:type="dxa"/>
            <w:vAlign w:val="center"/>
          </w:tcPr>
          <w:p>
            <w:pPr>
              <w:pStyle w:val="13"/>
            </w:pPr>
            <w:r>
              <w:t>一般行政管理事务</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2013404</w:t>
            </w:r>
          </w:p>
        </w:tc>
        <w:tc>
          <w:tcPr>
            <w:tcW w:w="4535" w:type="dxa"/>
            <w:vAlign w:val="center"/>
          </w:tcPr>
          <w:p>
            <w:pPr>
              <w:pStyle w:val="13"/>
            </w:pPr>
            <w:r>
              <w:t>宗教事务</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2013405</w:t>
            </w:r>
          </w:p>
        </w:tc>
        <w:tc>
          <w:tcPr>
            <w:tcW w:w="4535" w:type="dxa"/>
            <w:vAlign w:val="center"/>
          </w:tcPr>
          <w:p>
            <w:pPr>
              <w:pStyle w:val="13"/>
            </w:pPr>
            <w:r>
              <w:t>华侨事务</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98.04</w:t>
            </w:r>
          </w:p>
        </w:tc>
        <w:tc>
          <w:tcPr>
            <w:tcW w:w="2551" w:type="dxa"/>
            <w:vAlign w:val="center"/>
          </w:tcPr>
          <w:p>
            <w:pPr>
              <w:pStyle w:val="12"/>
            </w:pPr>
            <w:r>
              <w:t>80.31</w:t>
            </w:r>
          </w:p>
        </w:tc>
        <w:tc>
          <w:tcPr>
            <w:tcW w:w="2551" w:type="dxa"/>
            <w:vAlign w:val="center"/>
          </w:tcPr>
          <w:p>
            <w:pPr>
              <w:pStyle w:val="12"/>
            </w:pPr>
            <w:r>
              <w:t>17.73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80.31</w:t>
            </w:r>
          </w:p>
        </w:tc>
        <w:tc>
          <w:tcPr>
            <w:tcW w:w="2551" w:type="dxa"/>
            <w:vAlign w:val="center"/>
          </w:tcPr>
          <w:p>
            <w:pPr>
              <w:pStyle w:val="12"/>
            </w:pPr>
            <w:r>
              <w:t>80.31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54.23</w:t>
            </w:r>
          </w:p>
        </w:tc>
        <w:tc>
          <w:tcPr>
            <w:tcW w:w="2551" w:type="dxa"/>
            <w:vAlign w:val="center"/>
          </w:tcPr>
          <w:p>
            <w:pPr>
              <w:pStyle w:val="12"/>
            </w:pPr>
            <w:r>
              <w:t>54.23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26.08</w:t>
            </w:r>
          </w:p>
        </w:tc>
        <w:tc>
          <w:tcPr>
            <w:tcW w:w="2551" w:type="dxa"/>
            <w:vAlign w:val="center"/>
          </w:tcPr>
          <w:p>
            <w:pPr>
              <w:pStyle w:val="12"/>
            </w:pPr>
            <w:r>
              <w:t>26.08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17.73</w:t>
            </w:r>
          </w:p>
        </w:tc>
        <w:tc>
          <w:tcPr>
            <w:tcW w:w="2551" w:type="dxa"/>
            <w:vAlign w:val="center"/>
          </w:tcPr>
          <w:p>
            <w:pPr>
              <w:pStyle w:val="12"/>
            </w:pPr>
          </w:p>
        </w:tc>
        <w:tc>
          <w:tcPr>
            <w:tcW w:w="2551" w:type="dxa"/>
            <w:vAlign w:val="center"/>
          </w:tcPr>
          <w:p>
            <w:pPr>
              <w:pStyle w:val="12"/>
            </w:pPr>
            <w:r>
              <w:t>17.73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17.73</w:t>
            </w:r>
          </w:p>
        </w:tc>
        <w:tc>
          <w:tcPr>
            <w:tcW w:w="2551" w:type="dxa"/>
            <w:vAlign w:val="center"/>
          </w:tcPr>
          <w:p>
            <w:pPr>
              <w:pStyle w:val="12"/>
            </w:pPr>
          </w:p>
        </w:tc>
        <w:tc>
          <w:tcPr>
            <w:tcW w:w="2551" w:type="dxa"/>
            <w:vAlign w:val="center"/>
          </w:tcPr>
          <w:p>
            <w:pPr>
              <w:pStyle w:val="12"/>
            </w:pPr>
            <w:r>
              <w:t>17.73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19.00</w:t>
            </w:r>
          </w:p>
        </w:tc>
        <w:tc>
          <w:tcPr>
            <w:tcW w:w="2551" w:type="dxa"/>
            <w:vAlign w:val="center"/>
          </w:tcPr>
          <w:p>
            <w:pPr>
              <w:pStyle w:val="12"/>
            </w:pPr>
            <w:r>
              <w:t>19.00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25.87</w:t>
            </w:r>
          </w:p>
        </w:tc>
        <w:tc>
          <w:tcPr>
            <w:tcW w:w="2551" w:type="dxa"/>
            <w:vAlign w:val="center"/>
          </w:tcPr>
          <w:p>
            <w:pPr>
              <w:pStyle w:val="12"/>
            </w:pPr>
            <w:r>
              <w:t>25.87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25.87</w:t>
            </w:r>
          </w:p>
        </w:tc>
        <w:tc>
          <w:tcPr>
            <w:tcW w:w="2551" w:type="dxa"/>
            <w:vAlign w:val="center"/>
          </w:tcPr>
          <w:p>
            <w:pPr>
              <w:pStyle w:val="12"/>
            </w:pPr>
            <w:r>
              <w:t>25.87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25.87</w:t>
            </w:r>
          </w:p>
        </w:tc>
        <w:tc>
          <w:tcPr>
            <w:tcW w:w="2551" w:type="dxa"/>
            <w:vAlign w:val="center"/>
          </w:tcPr>
          <w:p>
            <w:pPr>
              <w:pStyle w:val="12"/>
            </w:pPr>
            <w:r>
              <w:t>25.87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362.27</w:t>
            </w:r>
          </w:p>
        </w:tc>
        <w:tc>
          <w:tcPr>
            <w:tcW w:w="2551" w:type="dxa"/>
            <w:vAlign w:val="center"/>
          </w:tcPr>
          <w:p>
            <w:pPr>
              <w:pStyle w:val="16"/>
            </w:pPr>
            <w:r>
              <w:t>325.68</w:t>
            </w:r>
          </w:p>
        </w:tc>
        <w:tc>
          <w:tcPr>
            <w:tcW w:w="2551" w:type="dxa"/>
            <w:vAlign w:val="center"/>
          </w:tcPr>
          <w:p>
            <w:pPr>
              <w:pStyle w:val="16"/>
            </w:pPr>
            <w:r>
              <w:t>36.58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272.63</w:t>
            </w:r>
          </w:p>
        </w:tc>
        <w:tc>
          <w:tcPr>
            <w:tcW w:w="2551" w:type="dxa"/>
            <w:vAlign w:val="center"/>
          </w:tcPr>
          <w:p>
            <w:pPr>
              <w:pStyle w:val="12"/>
            </w:pPr>
            <w:r>
              <w:t>272.63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70.44</w:t>
            </w:r>
          </w:p>
        </w:tc>
        <w:tc>
          <w:tcPr>
            <w:tcW w:w="2551" w:type="dxa"/>
            <w:vAlign w:val="center"/>
          </w:tcPr>
          <w:p>
            <w:pPr>
              <w:pStyle w:val="12"/>
            </w:pPr>
            <w:r>
              <w:t>70.44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49.61</w:t>
            </w:r>
          </w:p>
        </w:tc>
        <w:tc>
          <w:tcPr>
            <w:tcW w:w="2551" w:type="dxa"/>
            <w:vAlign w:val="center"/>
          </w:tcPr>
          <w:p>
            <w:pPr>
              <w:pStyle w:val="12"/>
            </w:pPr>
            <w:r>
              <w:t>49.61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52.94</w:t>
            </w:r>
          </w:p>
        </w:tc>
        <w:tc>
          <w:tcPr>
            <w:tcW w:w="2551" w:type="dxa"/>
            <w:vAlign w:val="center"/>
          </w:tcPr>
          <w:p>
            <w:pPr>
              <w:pStyle w:val="12"/>
            </w:pPr>
            <w:r>
              <w:t>52.94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27.89</w:t>
            </w:r>
          </w:p>
        </w:tc>
        <w:tc>
          <w:tcPr>
            <w:tcW w:w="2551" w:type="dxa"/>
            <w:vAlign w:val="center"/>
          </w:tcPr>
          <w:p>
            <w:pPr>
              <w:pStyle w:val="12"/>
            </w:pPr>
            <w:r>
              <w:t>27.89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26.08</w:t>
            </w:r>
          </w:p>
        </w:tc>
        <w:tc>
          <w:tcPr>
            <w:tcW w:w="2551" w:type="dxa"/>
            <w:vAlign w:val="center"/>
          </w:tcPr>
          <w:p>
            <w:pPr>
              <w:pStyle w:val="12"/>
            </w:pPr>
            <w:r>
              <w:t>26.08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10.71</w:t>
            </w:r>
          </w:p>
        </w:tc>
        <w:tc>
          <w:tcPr>
            <w:tcW w:w="2551" w:type="dxa"/>
            <w:vAlign w:val="center"/>
          </w:tcPr>
          <w:p>
            <w:pPr>
              <w:pStyle w:val="12"/>
            </w:pPr>
            <w:r>
              <w:t>10.71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8.29</w:t>
            </w:r>
          </w:p>
        </w:tc>
        <w:tc>
          <w:tcPr>
            <w:tcW w:w="2551" w:type="dxa"/>
            <w:vAlign w:val="center"/>
          </w:tcPr>
          <w:p>
            <w:pPr>
              <w:pStyle w:val="12"/>
            </w:pPr>
            <w:r>
              <w:t>8.29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0.81</w:t>
            </w:r>
          </w:p>
        </w:tc>
        <w:tc>
          <w:tcPr>
            <w:tcW w:w="2551" w:type="dxa"/>
            <w:vAlign w:val="center"/>
          </w:tcPr>
          <w:p>
            <w:pPr>
              <w:pStyle w:val="12"/>
            </w:pPr>
            <w:r>
              <w:t>0.81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25.87</w:t>
            </w:r>
          </w:p>
        </w:tc>
        <w:tc>
          <w:tcPr>
            <w:tcW w:w="2551" w:type="dxa"/>
            <w:vAlign w:val="center"/>
          </w:tcPr>
          <w:p>
            <w:pPr>
              <w:pStyle w:val="12"/>
            </w:pPr>
            <w:r>
              <w:t>25.87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36.58</w:t>
            </w:r>
          </w:p>
        </w:tc>
        <w:tc>
          <w:tcPr>
            <w:tcW w:w="2551" w:type="dxa"/>
            <w:vAlign w:val="center"/>
          </w:tcPr>
          <w:p>
            <w:pPr>
              <w:pStyle w:val="12"/>
            </w:pPr>
          </w:p>
        </w:tc>
        <w:tc>
          <w:tcPr>
            <w:tcW w:w="2551" w:type="dxa"/>
            <w:vAlign w:val="center"/>
          </w:tcPr>
          <w:p>
            <w:pPr>
              <w:pStyle w:val="12"/>
            </w:pPr>
            <w:r>
              <w:t>36.58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9.60</w:t>
            </w:r>
          </w:p>
        </w:tc>
        <w:tc>
          <w:tcPr>
            <w:tcW w:w="2551" w:type="dxa"/>
            <w:vAlign w:val="center"/>
          </w:tcPr>
          <w:p>
            <w:pPr>
              <w:pStyle w:val="12"/>
            </w:pPr>
          </w:p>
        </w:tc>
        <w:tc>
          <w:tcPr>
            <w:tcW w:w="2551" w:type="dxa"/>
            <w:vAlign w:val="center"/>
          </w:tcPr>
          <w:p>
            <w:pPr>
              <w:pStyle w:val="12"/>
            </w:pPr>
            <w:r>
              <w:t>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6.74</w:t>
            </w:r>
          </w:p>
        </w:tc>
        <w:tc>
          <w:tcPr>
            <w:tcW w:w="2551" w:type="dxa"/>
            <w:vAlign w:val="center"/>
          </w:tcPr>
          <w:p>
            <w:pPr>
              <w:pStyle w:val="12"/>
            </w:pPr>
          </w:p>
        </w:tc>
        <w:tc>
          <w:tcPr>
            <w:tcW w:w="2551" w:type="dxa"/>
            <w:vAlign w:val="center"/>
          </w:tcPr>
          <w:p>
            <w:pPr>
              <w:pStyle w:val="12"/>
            </w:pPr>
            <w:r>
              <w:t>6.74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4.61</w:t>
            </w:r>
          </w:p>
        </w:tc>
        <w:tc>
          <w:tcPr>
            <w:tcW w:w="2551" w:type="dxa"/>
            <w:vAlign w:val="center"/>
          </w:tcPr>
          <w:p>
            <w:pPr>
              <w:pStyle w:val="12"/>
            </w:pPr>
          </w:p>
        </w:tc>
        <w:tc>
          <w:tcPr>
            <w:tcW w:w="2551" w:type="dxa"/>
            <w:vAlign w:val="center"/>
          </w:tcPr>
          <w:p>
            <w:pPr>
              <w:pStyle w:val="12"/>
            </w:pPr>
            <w:r>
              <w:t>4.61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1.47</w:t>
            </w:r>
          </w:p>
        </w:tc>
        <w:tc>
          <w:tcPr>
            <w:tcW w:w="2551" w:type="dxa"/>
            <w:vAlign w:val="center"/>
          </w:tcPr>
          <w:p>
            <w:pPr>
              <w:pStyle w:val="12"/>
            </w:pPr>
          </w:p>
        </w:tc>
        <w:tc>
          <w:tcPr>
            <w:tcW w:w="2551" w:type="dxa"/>
            <w:vAlign w:val="center"/>
          </w:tcPr>
          <w:p>
            <w:pPr>
              <w:pStyle w:val="12"/>
            </w:pPr>
            <w:r>
              <w:t>1.47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1.76</w:t>
            </w:r>
          </w:p>
        </w:tc>
        <w:tc>
          <w:tcPr>
            <w:tcW w:w="2551" w:type="dxa"/>
            <w:vAlign w:val="center"/>
          </w:tcPr>
          <w:p>
            <w:pPr>
              <w:pStyle w:val="12"/>
            </w:pPr>
          </w:p>
        </w:tc>
        <w:tc>
          <w:tcPr>
            <w:tcW w:w="2551" w:type="dxa"/>
            <w:vAlign w:val="center"/>
          </w:tcPr>
          <w:p>
            <w:pPr>
              <w:pStyle w:val="12"/>
            </w:pPr>
            <w:r>
              <w:t>1.76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2.70</w:t>
            </w:r>
          </w:p>
        </w:tc>
        <w:tc>
          <w:tcPr>
            <w:tcW w:w="2551" w:type="dxa"/>
            <w:vAlign w:val="center"/>
          </w:tcPr>
          <w:p>
            <w:pPr>
              <w:pStyle w:val="12"/>
            </w:pPr>
          </w:p>
        </w:tc>
        <w:tc>
          <w:tcPr>
            <w:tcW w:w="2551" w:type="dxa"/>
            <w:vAlign w:val="center"/>
          </w:tcPr>
          <w:p>
            <w:pPr>
              <w:pStyle w:val="12"/>
            </w:pPr>
            <w:r>
              <w:t>2.70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8.22</w:t>
            </w:r>
          </w:p>
        </w:tc>
        <w:tc>
          <w:tcPr>
            <w:tcW w:w="2551" w:type="dxa"/>
            <w:vAlign w:val="center"/>
          </w:tcPr>
          <w:p>
            <w:pPr>
              <w:pStyle w:val="12"/>
            </w:pPr>
          </w:p>
        </w:tc>
        <w:tc>
          <w:tcPr>
            <w:tcW w:w="2551" w:type="dxa"/>
            <w:vAlign w:val="center"/>
          </w:tcPr>
          <w:p>
            <w:pPr>
              <w:pStyle w:val="12"/>
            </w:pPr>
            <w:r>
              <w:t>8.22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1.48</w:t>
            </w:r>
          </w:p>
        </w:tc>
        <w:tc>
          <w:tcPr>
            <w:tcW w:w="2551" w:type="dxa"/>
            <w:vAlign w:val="center"/>
          </w:tcPr>
          <w:p>
            <w:pPr>
              <w:pStyle w:val="12"/>
            </w:pPr>
          </w:p>
        </w:tc>
        <w:tc>
          <w:tcPr>
            <w:tcW w:w="2551" w:type="dxa"/>
            <w:vAlign w:val="center"/>
          </w:tcPr>
          <w:p>
            <w:pPr>
              <w:pStyle w:val="12"/>
            </w:pPr>
            <w:r>
              <w:t>1.48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53.05</w:t>
            </w:r>
          </w:p>
        </w:tc>
        <w:tc>
          <w:tcPr>
            <w:tcW w:w="2551" w:type="dxa"/>
            <w:vAlign w:val="center"/>
          </w:tcPr>
          <w:p>
            <w:pPr>
              <w:pStyle w:val="12"/>
            </w:pPr>
            <w:r>
              <w:t>53.05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18.43</w:t>
            </w:r>
          </w:p>
        </w:tc>
        <w:tc>
          <w:tcPr>
            <w:tcW w:w="2551" w:type="dxa"/>
            <w:vAlign w:val="center"/>
          </w:tcPr>
          <w:p>
            <w:pPr>
              <w:pStyle w:val="12"/>
            </w:pPr>
            <w:r>
              <w:t>18.43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34.63</w:t>
            </w:r>
          </w:p>
        </w:tc>
        <w:tc>
          <w:tcPr>
            <w:tcW w:w="2551" w:type="dxa"/>
            <w:vAlign w:val="center"/>
          </w:tcPr>
          <w:p>
            <w:pPr>
              <w:pStyle w:val="12"/>
            </w:pPr>
            <w:r>
              <w:t>34.63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2.70</w:t>
            </w:r>
          </w:p>
        </w:tc>
        <w:tc>
          <w:tcPr>
            <w:tcW w:w="2381" w:type="dxa"/>
            <w:vAlign w:val="center"/>
          </w:tcPr>
          <w:p>
            <w:pPr>
              <w:pStyle w:val="12"/>
            </w:pPr>
            <w:r>
              <w:t>2.70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中共石家庄市鹿泉区委统一战线工作部2025年部门预算信息公开情况说明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中共石家庄市鹿泉区委统一战线工作部2025年部门预算信息公开情况说明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按照《中华人民共和国预算法》、《地方预决算公开操作规程》和《关于进一步推进预算公开工作的实施意见》规定，现将中共石家庄市鹿泉区委统一战线工作部2025年部门预算公开如下：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根据《中共石家庄市鹿泉区委统一战线工作部职能配置、内设机构和人员编制规定》，中共石家庄市鹿泉区委统一战线工作部的主要职责是：</w:t>
      </w:r>
    </w:p>
    <w:p>
      <w:pPr>
        <w:pStyle w:val="18"/>
      </w:pPr>
      <w:r>
        <w:t>（一）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w:t>
      </w:r>
    </w:p>
    <w:p>
      <w:pPr>
        <w:pStyle w:val="18"/>
      </w:pPr>
      <w:r>
        <w:t>（二）开展统一战线理论研究，贯彻落实统一战线工作的政策、地方性法规等，深入调查研究，及时向区委报告统一战线工作情况并提出建议，统筹协调和指导各乡镇（区）各部门各单位统一战线工作。</w:t>
      </w:r>
    </w:p>
    <w:p>
      <w:pPr>
        <w:pStyle w:val="18"/>
      </w:pPr>
      <w:r>
        <w:t>（三）负责发现、培养党外代表人士，负责党外人士的政治安排，会同有关部门做好安排党外人士担任政府和司法机关等领导职务的工作，协助区工商联做好干部管理工作，反映和协调解决党外代表人士工作生活中的实际困难。</w:t>
      </w:r>
    </w:p>
    <w:p>
      <w:pPr>
        <w:pStyle w:val="18"/>
      </w:pPr>
      <w:r>
        <w:t>（四）贯彻落实党的宣传工作方针，统筹推进全区统一战线宣传工作，拟订全区统一战线宣传工作规划并组织实施，研判涉及统一战线的舆情并协调有关部门应对处置。</w:t>
      </w:r>
    </w:p>
    <w:p>
      <w:pPr>
        <w:pStyle w:val="18"/>
      </w:pPr>
      <w: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pStyle w:val="18"/>
      </w:pPr>
      <w:r>
        <w:t>（六）统一管理民族宗教工作，贯彻落实党的民族宗教工作方针，拟订民族宗教工作的政策措施并督促落实，协调处理民族宗教工作中的重大问题，全面促进民族宗教事业发展，维护全区民族宗教领域和谐稳定。</w:t>
      </w:r>
    </w:p>
    <w:p>
      <w:pPr>
        <w:pStyle w:val="18"/>
      </w:pPr>
      <w:r>
        <w:t>（七）负责联系、培养无党派代表人士，支持、帮助无党派人士加强自身建设、发挥作用，调查研究党外知识分子和新的社会阶层人士情况并提出政策建议，联系、培养党外知识分子和新的社会阶层代表人士，开展思想政治工作，指导有关企事业单位和社会组织开展党外知识分子和新的社会阶层人士统战工作。</w:t>
      </w:r>
    </w:p>
    <w:p>
      <w:pPr>
        <w:pStyle w:val="18"/>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lang w:eastAsia="zh-CN"/>
        </w:rPr>
        <w:t>士</w:t>
      </w:r>
      <w:bookmarkStart w:id="20" w:name="_GoBack"/>
      <w:bookmarkEnd w:id="20"/>
      <w:r>
        <w:t>健康成长。</w:t>
      </w:r>
    </w:p>
    <w:p>
      <w:pPr>
        <w:pStyle w:val="18"/>
      </w:pPr>
      <w:r>
        <w:t>（九）统一领导全区海外统战工作，牵头开展港澳统战工作。贯彻落实党的海外统战工作政策措施，并组织协调、督促检查落实，对香港、澳门地区统一战线工作进行调查研究并提出意见建议，联系香港、澳门有关党派、团体及代表人士，联系海外有关社团及代表人士。做好统一战线外事管理工作。</w:t>
      </w:r>
    </w:p>
    <w:p>
      <w:pPr>
        <w:pStyle w:val="18"/>
      </w:pPr>
      <w:r>
        <w:t>（十）统一管理全区侨务工作，贯彻落实党的侨务工作方针政策并组织协调、督促检查落实，调查研究侨情和侨务工作情况，管理侨务行政事务，统筹协调有关部门和社会团体涉侨工作，联系海外有关侨团和代表人士，指导推动涉侨宣传、文体交流、华文教育工作等，保护华侨和归侨侨眷在区内的合法权利和利益。</w:t>
      </w:r>
    </w:p>
    <w:p>
      <w:pPr>
        <w:pStyle w:val="18"/>
      </w:pPr>
      <w:r>
        <w:t>（十一）负责全区涉台工作，贯彻执行党中央、国务院对台工作的方针政策。开展对台工作调查研究并结合我区实际提出对策和建议。协调、指导全区涉台金融、文化等领域的交流与合作及鹿台人员往来工作。负责来我区台胞的接待服务工作。按照中央有关规定，负责全区对台接触的组织实施。</w:t>
      </w:r>
    </w:p>
    <w:p>
      <w:pPr>
        <w:pStyle w:val="18"/>
      </w:pPr>
      <w:r>
        <w:t>（十二）指导各乡（镇、区）党委统一战线工作，负责乡（镇、区）统战干部培训工作；协调政府有关部门统一战线工作；受区委委托，领导工商联党组，指导区工商联工作；联系指导区侨联工作。做好统一战线有关单位和团体的管理工作。</w:t>
      </w:r>
    </w:p>
    <w:p>
      <w:pPr>
        <w:pStyle w:val="18"/>
      </w:pPr>
      <w:r>
        <w:t>（十三）完成区委交办的其他任务。　　</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中共石家庄市鹿泉区委统一战线工作部本级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按照预算管理有关规定，目前部门预算的编制实行综合预算管理，即全部收入和支出都反映在预算中。中共石家庄市鹿泉区委统一战线工作部机关及所属事业单位的收支包含在部门预算中。</w:t>
      </w:r>
    </w:p>
    <w:p>
      <w:pPr>
        <w:pStyle w:val="19"/>
      </w:pPr>
      <w:r>
        <w:t>1、收入说明</w:t>
      </w:r>
    </w:p>
    <w:p>
      <w:pPr>
        <w:pStyle w:val="19"/>
      </w:pPr>
      <w:r>
        <w:t>反映本部门当年全部收入。2025年预算收入420.00万元，其中：一般公共预算收入418.00万元，基金预算收入0.00万元，国有资本经营预算收入0.00万元，财政专户核拨收入0.00万元，单位资金收入0.00万元，上年结转结余2.00万元。</w:t>
      </w:r>
    </w:p>
    <w:p>
      <w:pPr>
        <w:pStyle w:val="19"/>
      </w:pPr>
      <w:r>
        <w:t>2、支出说明</w:t>
      </w:r>
    </w:p>
    <w:p>
      <w:pPr>
        <w:pStyle w:val="19"/>
      </w:pPr>
      <w:r>
        <w:t>收支预算总表支出栏、基本支出表、项目支出表按经济分类和支出功能分类科目编制，反映中共石家庄市鹿泉区委统一战线工作部年度部门预算中支出预算的总体情况。2025年支出预算420.00万元，其中基本支出362.27万元，包括人员经费325.68万元和日常公用经费36.58万元；项目支出57.73万元，主要为2025年党外知识分子和新的社会阶层人士统战工作经费2万元；民主党派工作经费3万元；民族宗教工作专项经费10万元；数字统战平台建设费16万元；台侨工作经费4万元；统战工作协调机制专项经费3万元；退役军人公益岗工资17.73万元；上年结转市级宗教工作补助经费2万元。</w:t>
      </w:r>
    </w:p>
    <w:p>
      <w:pPr>
        <w:pStyle w:val="19"/>
      </w:pPr>
      <w:r>
        <w:t>3、比上年增减情况</w:t>
      </w:r>
    </w:p>
    <w:p>
      <w:pPr>
        <w:pStyle w:val="19"/>
      </w:pPr>
      <w:r>
        <w:t>2025年预算收支安排420.00万元，较2024年预算减少8.62万元，其中：基本支出减少5.62万元，主要为人员支出经费减少项目支出减少3.00万元，主要为减少项目经费支出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2025年，我部门机关运行经费共计安排36.58万元，主要用于日常维修、办公用房水电费、办公用房取暖费、办公用房物业管理费等日常运行支出。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2.70万元，其中因公出国（境）费0.00万元；公务用车购置及运维费2.70万元（其中：公务用车购置费为0.00万元，公务用车运维费2.70万元)；公务接待费0.00万元。与2024年相比增加0.00万元，增减变化的主要原因是与2024年相比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加强党对统一战线工作集中统一领导的要求，了解情况、掌握政策、协调关系、安排人事、增进共识、加强团结，协调统一战线各方面关系，组织、落实中央、省委、市委、区委关于统一战线工作重大决策部署，巩固壮大最广泛的统一战线。2025年，区委统战部将根据省市和区委的新要求新部署，提高政治站位，增强责任担当，以凝聚统战成员的思想共识为首要任务，以加强党外代表人士培养锻炼和宗教领域系统治理为重点，提高我区统战工作科学化制度化水平。</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加强学习培训，着力提升统一战线各界人士的思想政治素质。以学习宣传贯彻习近平新时代中国特色社会主义思想和党的二十大精神为主要内容，加强统战成员的教育培训，深刻感悟“两个确立”的决定性意义，着力提升广大统战干部和统战成员的思想政治素质，贯彻落实党的二十大精神。</w:t>
      </w:r>
    </w:p>
    <w:p>
      <w:pPr>
        <w:pStyle w:val="23"/>
      </w:pPr>
      <w:r>
        <w:t>（二）强化系统治理，切实维护宗教领域的和谐稳定。巩固宗教领域专项整治成果，防范各类非法宗教活动的反弹。深入开展“双创四进”，严格落实三项制度，积极发挥基层治理工作队作用，深入开展宗教领域系统治理，坚持宗教中国化方向。</w:t>
      </w:r>
    </w:p>
    <w:p>
      <w:pPr>
        <w:pStyle w:val="23"/>
      </w:pPr>
      <w:r>
        <w:t>（三）健全工作机制，提升党外代表人士工作水平。加强党外后备人才数据库动态管理，做好党外干部的储备和推荐使用工作。支持民主党派通过政党协商、主题调研等形式发挥积极作用。发挥党外知识分子和新的社会阶层人士的优势，开展服务群众活动。持续做好新时代民营经济统战工作和侨务工作，不断提升统战工作的科学化水平。</w:t>
      </w:r>
    </w:p>
    <w:p>
      <w:pPr>
        <w:pStyle w:val="23"/>
      </w:pPr>
      <w:r>
        <w:t>（四）加强自身建设，提升统战干部队伍能力素质。领导班子落实主体责任，全面从严治党，班子成员落实一岗双责，严格落实党内生活，教育督促党员干部不断加强党员的党性意识和党性修养，不断提高业务能力和素质。继续深入开展“查问题、转作风、鼓干劲、争上游”行动，不断改进工作作风。</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1.加强和完善制度建设，不断夯实制度基础。不断加强和完善预算绩效管理制度、资金管理办法，工作保障制度等，为全年预算绩效目标的实现奠定制度基础；</w:t>
      </w:r>
    </w:p>
    <w:p>
      <w:pPr>
        <w:pStyle w:val="24"/>
      </w:pPr>
      <w:r>
        <w:t>2.加强支出管理和绩效运行监控。通过优化支出结构、编细编实预算、尽快启动项目、及时支付资金、按规定及时开展各项工作等多种措施，确保支出进度达标；按要求开展绩效运行监控，发现问题及时采取措施，确保绩效目标如期保质实现。</w:t>
      </w:r>
    </w:p>
    <w:p>
      <w:pPr>
        <w:pStyle w:val="24"/>
      </w:pPr>
      <w:r>
        <w:t>3、做好绩效自评。按要求开展上年度部门预算绩效自评工作，对评价中发现的问题及时整改，调整优化支出结构，提高财政拨付项目资金的使用效益。</w:t>
      </w:r>
    </w:p>
    <w:p>
      <w:pPr>
        <w:pStyle w:val="24"/>
      </w:pPr>
      <w:r>
        <w:t>4、规范财务资产管理，加强内部监督。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5、加强宣传培训调研等。通过开展专题培训、宣传政策、观摩交流等形式，提高本部门职工业务素质；加大宣传力度，强化预算绩效管理意识，促进统战各项工作开展。</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1、2025年党外知识分子和新的社会阶层人士统战工作经费绩效目标表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13011025P00322710028L</w:t>
            </w:r>
          </w:p>
        </w:tc>
        <w:tc>
          <w:tcPr>
            <w:tcW w:w="2835" w:type="dxa"/>
            <w:vAlign w:val="center"/>
          </w:tcPr>
          <w:p>
            <w:pPr>
              <w:pStyle w:val="11"/>
            </w:pPr>
            <w:r>
              <w:t>项目名称</w:t>
            </w:r>
          </w:p>
        </w:tc>
        <w:tc>
          <w:tcPr>
            <w:tcW w:w="6095" w:type="dxa"/>
            <w:gridSpan w:val="3"/>
            <w:vAlign w:val="center"/>
          </w:tcPr>
          <w:p>
            <w:pPr>
              <w:pStyle w:val="13"/>
            </w:pPr>
            <w:r>
              <w:t>2025年党外知识分子和新的社会阶层人士统战工作经费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组织党外知识分子和新的社会阶层人士开展党的政策理论宣讲和专题培训2次，召开座谈、调研3次，开展社会服务2次，开展“寻美鹿泉”写生活动2次，举办书画展1次，进一步加强党外知识分子和新的社会阶层人士的思想政治引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组织党外知识分子和新的社会阶层人士开展党的政策理论宣讲和专题培训2次，召开座谈、调研3次，开展社会服务2次，开展“寻美鹿泉”写生活动2次，举办书画展1次，进一步加强党外知识分子和新的社会阶层人士的思想政治引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党外知识分子和新的社会阶层人士培训班数量</w:t>
            </w:r>
          </w:p>
        </w:tc>
        <w:tc>
          <w:tcPr>
            <w:tcW w:w="5386" w:type="dxa"/>
            <w:vAlign w:val="center"/>
          </w:tcPr>
          <w:p>
            <w:pPr>
              <w:pStyle w:val="13"/>
            </w:pPr>
            <w:r>
              <w:t>全年开展党外知识分子和新的社会阶层人士培训班数量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党外知识分子和新的社会阶层人士培训成本</w:t>
            </w:r>
          </w:p>
        </w:tc>
        <w:tc>
          <w:tcPr>
            <w:tcW w:w="5386" w:type="dxa"/>
            <w:vAlign w:val="center"/>
          </w:tcPr>
          <w:p>
            <w:pPr>
              <w:pStyle w:val="13"/>
            </w:pPr>
            <w:r>
              <w:t>党外知识分子和新的社会阶层人士培训班平均成本</w:t>
            </w:r>
          </w:p>
        </w:tc>
        <w:tc>
          <w:tcPr>
            <w:tcW w:w="2268" w:type="dxa"/>
            <w:vAlign w:val="center"/>
          </w:tcPr>
          <w:p>
            <w:pPr>
              <w:pStyle w:val="13"/>
            </w:pPr>
            <w:r>
              <w:t>≤6000元/次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党外知识分子和新的社会阶层人士完成及时率</w:t>
            </w:r>
          </w:p>
        </w:tc>
        <w:tc>
          <w:tcPr>
            <w:tcW w:w="5386" w:type="dxa"/>
            <w:vAlign w:val="center"/>
          </w:tcPr>
          <w:p>
            <w:pPr>
              <w:pStyle w:val="13"/>
            </w:pPr>
            <w:r>
              <w:t>党外知识分子和新的社会阶层人士工作任务完成及时率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党外知识分子和新的社会阶层人士座谈、调研数量</w:t>
            </w:r>
          </w:p>
        </w:tc>
        <w:tc>
          <w:tcPr>
            <w:tcW w:w="5386" w:type="dxa"/>
            <w:vAlign w:val="center"/>
          </w:tcPr>
          <w:p>
            <w:pPr>
              <w:pStyle w:val="13"/>
            </w:pPr>
            <w:r>
              <w:t>开展党外知识分子和新的社会阶层人士座谈、调研相关座谈会数量</w:t>
            </w:r>
          </w:p>
        </w:tc>
        <w:tc>
          <w:tcPr>
            <w:tcW w:w="2268" w:type="dxa"/>
            <w:vAlign w:val="center"/>
          </w:tcPr>
          <w:p>
            <w:pPr>
              <w:pStyle w:val="13"/>
            </w:pPr>
            <w:r>
              <w:t>≥3次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党外知识分子和新的社会阶层人士座谈、调研参与率</w:t>
            </w:r>
          </w:p>
        </w:tc>
        <w:tc>
          <w:tcPr>
            <w:tcW w:w="5386" w:type="dxa"/>
            <w:vAlign w:val="center"/>
          </w:tcPr>
          <w:p>
            <w:pPr>
              <w:pStyle w:val="13"/>
            </w:pPr>
            <w:r>
              <w:t>参加党外知识分子和新的社会阶层人士座谈、调研培训占应参加培训、调研人数的比例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党外知识分子和新的社会阶层人士座谈、调研成本</w:t>
            </w:r>
          </w:p>
        </w:tc>
        <w:tc>
          <w:tcPr>
            <w:tcW w:w="5386" w:type="dxa"/>
            <w:vAlign w:val="center"/>
          </w:tcPr>
          <w:p>
            <w:pPr>
              <w:pStyle w:val="13"/>
            </w:pPr>
            <w:r>
              <w:t>召开党外知识分子和新的社会阶层人士座谈、调研平均成本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党外知识分子和新的社会阶层人士社会服务数量</w:t>
            </w:r>
          </w:p>
        </w:tc>
        <w:tc>
          <w:tcPr>
            <w:tcW w:w="5386" w:type="dxa"/>
            <w:vAlign w:val="center"/>
          </w:tcPr>
          <w:p>
            <w:pPr>
              <w:pStyle w:val="13"/>
            </w:pPr>
            <w:r>
              <w:t>全年开展党外知识分子和新的社会阶层人士服务社会数量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党外知识分子和新的社会阶层人士社会服务成本</w:t>
            </w:r>
          </w:p>
        </w:tc>
        <w:tc>
          <w:tcPr>
            <w:tcW w:w="5386" w:type="dxa"/>
            <w:vAlign w:val="center"/>
          </w:tcPr>
          <w:p>
            <w:pPr>
              <w:pStyle w:val="13"/>
            </w:pPr>
            <w:r>
              <w:t>党外知识分子和新的社会阶层人士社会服务活动平均成本</w:t>
            </w:r>
          </w:p>
        </w:tc>
        <w:tc>
          <w:tcPr>
            <w:tcW w:w="2268" w:type="dxa"/>
            <w:vAlign w:val="center"/>
          </w:tcPr>
          <w:p>
            <w:pPr>
              <w:pStyle w:val="13"/>
            </w:pPr>
            <w:r>
              <w:t>≤1000元/次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党外知识分子和新的社会阶层人士完成及时率</w:t>
            </w:r>
          </w:p>
        </w:tc>
        <w:tc>
          <w:tcPr>
            <w:tcW w:w="5386" w:type="dxa"/>
            <w:vAlign w:val="center"/>
          </w:tcPr>
          <w:p>
            <w:pPr>
              <w:pStyle w:val="13"/>
            </w:pPr>
            <w:r>
              <w:t>党外知识分子和新的社会阶层人士工作任务完成及时率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“寻美 鹿泉”系列活动数量</w:t>
            </w:r>
          </w:p>
        </w:tc>
        <w:tc>
          <w:tcPr>
            <w:tcW w:w="5386" w:type="dxa"/>
            <w:vAlign w:val="center"/>
          </w:tcPr>
          <w:p>
            <w:pPr>
              <w:pStyle w:val="13"/>
            </w:pPr>
            <w:r>
              <w:t>全年组织开展“寻美鹿泉”写生数量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组织活动平均成本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书画展数量</w:t>
            </w:r>
          </w:p>
        </w:tc>
        <w:tc>
          <w:tcPr>
            <w:tcW w:w="5386" w:type="dxa"/>
            <w:vAlign w:val="center"/>
          </w:tcPr>
          <w:p>
            <w:pPr>
              <w:pStyle w:val="13"/>
            </w:pPr>
            <w:r>
              <w:t>组织党外知识分子开展“寻美鹿泉”书画展</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活动成本</w:t>
            </w:r>
          </w:p>
        </w:tc>
        <w:tc>
          <w:tcPr>
            <w:tcW w:w="5386" w:type="dxa"/>
            <w:vAlign w:val="center"/>
          </w:tcPr>
          <w:p>
            <w:pPr>
              <w:pStyle w:val="13"/>
            </w:pPr>
            <w:r>
              <w:t>组织活动平均成本</w:t>
            </w:r>
          </w:p>
        </w:tc>
        <w:tc>
          <w:tcPr>
            <w:tcW w:w="2268" w:type="dxa"/>
            <w:vAlign w:val="center"/>
          </w:tcPr>
          <w:p>
            <w:pPr>
              <w:pStyle w:val="13"/>
            </w:pPr>
            <w:r>
              <w:t>≤6000元/次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开展相关党外知识分子和新的社会阶层人士培训班，通过组织党外知识分子和新的社会阶层人士开展党的政策理论宣讲和专题培训2次，召开座谈、调研3次，开展社会服务2次，开展“寻美鹿泉”写生活动2次，举办书画展1次，进一步加强党外知识分子和新的社会阶层人士的思想政治引领。进一步落实习近平总书记提出的”找出最大公约数、画出最大同心圆“的重要指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参加培训人员对培训效果满意程度</w:t>
            </w:r>
          </w:p>
        </w:tc>
        <w:tc>
          <w:tcPr>
            <w:tcW w:w="2268" w:type="dxa"/>
            <w:vAlign w:val="center"/>
          </w:tcPr>
          <w:p>
            <w:pPr>
              <w:pStyle w:val="13"/>
            </w:pPr>
            <w:r>
              <w:t>≥90%</w:t>
            </w:r>
          </w:p>
        </w:tc>
        <w:tc>
          <w:tcPr>
            <w:tcW w:w="1276" w:type="dxa"/>
            <w:vAlign w:val="center"/>
          </w:tcPr>
          <w:p>
            <w:pPr>
              <w:pStyle w:val="13"/>
            </w:pPr>
            <w:r>
              <w:t>工作计划</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2、2025年民主党派工作经费绩效目标表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13011025P003227100298</w:t>
            </w:r>
          </w:p>
        </w:tc>
        <w:tc>
          <w:tcPr>
            <w:tcW w:w="2835" w:type="dxa"/>
            <w:vAlign w:val="center"/>
          </w:tcPr>
          <w:p>
            <w:pPr>
              <w:pStyle w:val="11"/>
            </w:pPr>
            <w:r>
              <w:t>项目名称</w:t>
            </w:r>
          </w:p>
        </w:tc>
        <w:tc>
          <w:tcPr>
            <w:tcW w:w="6095" w:type="dxa"/>
            <w:gridSpan w:val="3"/>
            <w:vAlign w:val="center"/>
          </w:tcPr>
          <w:p>
            <w:pPr>
              <w:pStyle w:val="13"/>
            </w:pPr>
            <w:r>
              <w:t>2025年民主党派工作经费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为切实提高同中国共产党同心同德、团结奋斗的能力素质，开展相关民主党派及党外知识分子培训班2次，召开民主党派及党外知识分子调研、座谈2次，开展法律等社会服务活动2次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1.为切实提高同中国共产党同心同德、团结奋斗的力素质，开展相关民主党派及党外知识分子培训班2次，召开民主党派及党外知识分子调研、座谈2次，开展法律等社会服务活动2次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民族党派及党外知识分子培训班数量</w:t>
            </w:r>
          </w:p>
        </w:tc>
        <w:tc>
          <w:tcPr>
            <w:tcW w:w="5386" w:type="dxa"/>
            <w:vAlign w:val="center"/>
          </w:tcPr>
          <w:p>
            <w:pPr>
              <w:pStyle w:val="13"/>
            </w:pPr>
            <w:r>
              <w:t>全年召集民主党派、党外知识分子进行调研</w:t>
            </w:r>
          </w:p>
          <w:p>
            <w:pPr>
              <w:pStyle w:val="13"/>
            </w:pP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民族党派及党外知识分子培训班平均成本</w:t>
            </w:r>
          </w:p>
        </w:tc>
        <w:tc>
          <w:tcPr>
            <w:tcW w:w="2268" w:type="dxa"/>
            <w:vAlign w:val="center"/>
          </w:tcPr>
          <w:p>
            <w:pPr>
              <w:pStyle w:val="13"/>
            </w:pPr>
            <w:r>
              <w:t>≤3000元/次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开展调研及座谈会数量</w:t>
            </w:r>
          </w:p>
        </w:tc>
        <w:tc>
          <w:tcPr>
            <w:tcW w:w="5386" w:type="dxa"/>
            <w:vAlign w:val="center"/>
          </w:tcPr>
          <w:p>
            <w:pPr>
              <w:pStyle w:val="13"/>
            </w:pPr>
            <w:r>
              <w:t>全年开展民主党派、党外知识分子座谈会</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党外知识分子培训参与率</w:t>
            </w:r>
          </w:p>
        </w:tc>
        <w:tc>
          <w:tcPr>
            <w:tcW w:w="5386" w:type="dxa"/>
            <w:vAlign w:val="center"/>
          </w:tcPr>
          <w:p>
            <w:pPr>
              <w:pStyle w:val="13"/>
            </w:pPr>
            <w:r>
              <w:t>参加民主党派及党外知识分子培训占应参加培训人数的比例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座谈会成本</w:t>
            </w:r>
          </w:p>
        </w:tc>
        <w:tc>
          <w:tcPr>
            <w:tcW w:w="5386" w:type="dxa"/>
            <w:vAlign w:val="center"/>
          </w:tcPr>
          <w:p>
            <w:pPr>
              <w:pStyle w:val="13"/>
            </w:pPr>
            <w:r>
              <w:t>召开座谈会平均成本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普法进社区及法律咨询等社会服务数量</w:t>
            </w:r>
          </w:p>
        </w:tc>
        <w:tc>
          <w:tcPr>
            <w:tcW w:w="5386" w:type="dxa"/>
            <w:vAlign w:val="center"/>
          </w:tcPr>
          <w:p>
            <w:pPr>
              <w:pStyle w:val="13"/>
            </w:pPr>
            <w:r>
              <w:t>为提高鹿泉影响力组织民主党派及各阶层服务社会数量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普法进社区及法律咨询等社会服务成本</w:t>
            </w:r>
          </w:p>
        </w:tc>
        <w:tc>
          <w:tcPr>
            <w:tcW w:w="5386" w:type="dxa"/>
            <w:vAlign w:val="center"/>
          </w:tcPr>
          <w:p>
            <w:pPr>
              <w:pStyle w:val="13"/>
            </w:pPr>
            <w:r>
              <w:t>社会服务活动平均成本</w:t>
            </w: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为切实提高同中国共产党同心同德、团结奋斗的能力素质，开展相关民主党派及党外知识分子培训班2次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召开民主党派及党外知识分子调研座谈2次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增强影响力</w:t>
            </w:r>
          </w:p>
        </w:tc>
        <w:tc>
          <w:tcPr>
            <w:tcW w:w="5386" w:type="dxa"/>
            <w:vAlign w:val="center"/>
          </w:tcPr>
          <w:p>
            <w:pPr>
              <w:pStyle w:val="13"/>
            </w:pPr>
            <w:r>
              <w:t>增强政策影响力</w:t>
            </w:r>
          </w:p>
        </w:tc>
        <w:tc>
          <w:tcPr>
            <w:tcW w:w="2268" w:type="dxa"/>
            <w:vAlign w:val="center"/>
          </w:tcPr>
          <w:p>
            <w:pPr>
              <w:pStyle w:val="13"/>
            </w:pPr>
            <w:r>
              <w:t>为提高鹿泉影响力，突出鹿泉产业美、风景美提高影响力，从而带动经济发展特组织各界人士开展“寻美鹿泉”画展展览</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参加培训人员对培训效果满意程度</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3、2025年民族宗教工作专项经费绩效目标表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13011025P00322710026D</w:t>
            </w:r>
          </w:p>
        </w:tc>
        <w:tc>
          <w:tcPr>
            <w:tcW w:w="2835" w:type="dxa"/>
            <w:vAlign w:val="center"/>
          </w:tcPr>
          <w:p>
            <w:pPr>
              <w:pStyle w:val="11"/>
            </w:pPr>
            <w:r>
              <w:t>项目名称</w:t>
            </w:r>
          </w:p>
        </w:tc>
        <w:tc>
          <w:tcPr>
            <w:tcW w:w="6095" w:type="dxa"/>
            <w:gridSpan w:val="3"/>
            <w:vAlign w:val="center"/>
          </w:tcPr>
          <w:p>
            <w:pPr>
              <w:pStyle w:val="13"/>
            </w:pPr>
            <w:r>
              <w:t>2025年民族宗教工作专项经费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一、坚持我国宗教中国化方向，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二、提升民族事务治理水平，全面推进民族团结进步创建工作，主要用于：民族团结进步示范点位打造；开展民族团结进步宣传月活动；开展民族工作观摩学习等。三、主要用于日常办公经费，保障日常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1.二、提升民族事务治理水平，全面推进民族团结进步创建工作，主要用于：民族团结进步示范点位打造；开展民族团结进步宣传月活动；开展民族工作观摩学习等。</w:t>
            </w:r>
          </w:p>
          <w:p>
            <w:pPr>
              <w:pStyle w:val="13"/>
            </w:pPr>
            <w:r>
              <w:t>2.三、主要用于日常办公经费，保障日常工作开展。</w:t>
            </w:r>
          </w:p>
          <w:p>
            <w:pPr>
              <w:pStyle w:val="13"/>
            </w:pPr>
            <w:r>
              <w:t>3.一、坚持我国宗教中国化方向，切实维护宗教领域的和谐稳定，主要用于：全区宗教示范场所创建，召开我国宗教中国化方向座谈会，开展观摩学习活动；开展全区宗教干部培训班1次，提高工作水平；组织宗教界人士培训班3次，爱国主义教育2次；开展宗教场所走访慰问10个以上，发放宗教教职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开展宗教干部培训、宗教界人士培训、爱国主义教育</w:t>
            </w:r>
          </w:p>
        </w:tc>
        <w:tc>
          <w:tcPr>
            <w:tcW w:w="5386" w:type="dxa"/>
            <w:vAlign w:val="center"/>
          </w:tcPr>
          <w:p>
            <w:pPr>
              <w:pStyle w:val="13"/>
            </w:pPr>
            <w:r>
              <w:t>培训学习次数</w:t>
            </w:r>
          </w:p>
        </w:tc>
        <w:tc>
          <w:tcPr>
            <w:tcW w:w="2268" w:type="dxa"/>
            <w:vAlign w:val="center"/>
          </w:tcPr>
          <w:p>
            <w:pPr>
              <w:pStyle w:val="13"/>
            </w:pPr>
            <w:r>
              <w:t>≥6次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培训覆盖率</w:t>
            </w:r>
          </w:p>
        </w:tc>
        <w:tc>
          <w:tcPr>
            <w:tcW w:w="5386" w:type="dxa"/>
            <w:vAlign w:val="center"/>
          </w:tcPr>
          <w:p>
            <w:pPr>
              <w:pStyle w:val="13"/>
            </w:pPr>
            <w:r>
              <w:t>宗教场所及宗教教职人员培训覆盖率</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每季度至少一次培训学习</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宗教工作相关培训班平均成本</w:t>
            </w: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走访慰问宗教团体宗教场所数量</w:t>
            </w:r>
          </w:p>
        </w:tc>
        <w:tc>
          <w:tcPr>
            <w:tcW w:w="5386" w:type="dxa"/>
            <w:vAlign w:val="center"/>
          </w:tcPr>
          <w:p>
            <w:pPr>
              <w:pStyle w:val="13"/>
            </w:pPr>
            <w:r>
              <w:t>走访宗教团体宗教场所数量</w:t>
            </w:r>
          </w:p>
        </w:tc>
        <w:tc>
          <w:tcPr>
            <w:tcW w:w="2268" w:type="dxa"/>
            <w:vAlign w:val="center"/>
          </w:tcPr>
          <w:p>
            <w:pPr>
              <w:pStyle w:val="13"/>
            </w:pPr>
            <w:r>
              <w:t>≥20个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走访慰问覆盖率</w:t>
            </w:r>
          </w:p>
        </w:tc>
        <w:tc>
          <w:tcPr>
            <w:tcW w:w="5386" w:type="dxa"/>
            <w:vAlign w:val="center"/>
          </w:tcPr>
          <w:p>
            <w:pPr>
              <w:pStyle w:val="13"/>
            </w:pPr>
            <w:r>
              <w:t>宗教场所及宗教教职人员走访慰问覆盖率</w:t>
            </w:r>
          </w:p>
        </w:tc>
        <w:tc>
          <w:tcPr>
            <w:tcW w:w="2268" w:type="dxa"/>
            <w:vAlign w:val="center"/>
          </w:tcPr>
          <w:p>
            <w:pPr>
              <w:pStyle w:val="13"/>
            </w:pPr>
            <w:r>
              <w:t>≥50%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及时完成中秋、春节等重要节点走访慰问</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走访慰问平均成本</w:t>
            </w:r>
          </w:p>
        </w:tc>
        <w:tc>
          <w:tcPr>
            <w:tcW w:w="5386" w:type="dxa"/>
            <w:vAlign w:val="center"/>
          </w:tcPr>
          <w:p>
            <w:pPr>
              <w:pStyle w:val="13"/>
            </w:pPr>
            <w:r>
              <w:t>走访慰问平均成本</w:t>
            </w:r>
          </w:p>
        </w:tc>
        <w:tc>
          <w:tcPr>
            <w:tcW w:w="2268" w:type="dxa"/>
            <w:vAlign w:val="center"/>
          </w:tcPr>
          <w:p>
            <w:pPr>
              <w:pStyle w:val="13"/>
            </w:pPr>
            <w:r>
              <w:t>≤500元/个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向困难宗教教职人员发放生活补贴</w:t>
            </w:r>
          </w:p>
        </w:tc>
        <w:tc>
          <w:tcPr>
            <w:tcW w:w="5386" w:type="dxa"/>
            <w:vAlign w:val="center"/>
          </w:tcPr>
          <w:p>
            <w:pPr>
              <w:pStyle w:val="13"/>
            </w:pPr>
            <w:r>
              <w:t>发放生活补贴次数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按照工作安排及时完成生活补贴发放</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困难宗教教职人员生活补贴标准</w:t>
            </w:r>
          </w:p>
        </w:tc>
        <w:tc>
          <w:tcPr>
            <w:tcW w:w="5386" w:type="dxa"/>
            <w:vAlign w:val="center"/>
          </w:tcPr>
          <w:p>
            <w:pPr>
              <w:pStyle w:val="13"/>
            </w:pPr>
            <w:r>
              <w:t>生活补贴标准</w:t>
            </w:r>
          </w:p>
        </w:tc>
        <w:tc>
          <w:tcPr>
            <w:tcW w:w="2268" w:type="dxa"/>
            <w:vAlign w:val="center"/>
          </w:tcPr>
          <w:p>
            <w:pPr>
              <w:pStyle w:val="13"/>
            </w:pPr>
            <w:r>
              <w:t>≤10000元/次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宗教中国化示范场所创建提升</w:t>
            </w:r>
          </w:p>
        </w:tc>
        <w:tc>
          <w:tcPr>
            <w:tcW w:w="5386" w:type="dxa"/>
            <w:vAlign w:val="center"/>
          </w:tcPr>
          <w:p>
            <w:pPr>
              <w:pStyle w:val="13"/>
            </w:pPr>
            <w:r>
              <w:t>创建提升宗教中国化示范场所数量</w:t>
            </w:r>
          </w:p>
        </w:tc>
        <w:tc>
          <w:tcPr>
            <w:tcW w:w="2268" w:type="dxa"/>
            <w:vAlign w:val="center"/>
          </w:tcPr>
          <w:p>
            <w:pPr>
              <w:pStyle w:val="13"/>
            </w:pPr>
            <w:r>
              <w:t>≥4个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宗教中国化示范场所创建提升费用</w:t>
            </w:r>
          </w:p>
        </w:tc>
        <w:tc>
          <w:tcPr>
            <w:tcW w:w="5386" w:type="dxa"/>
            <w:vAlign w:val="center"/>
          </w:tcPr>
          <w:p>
            <w:pPr>
              <w:pStyle w:val="13"/>
            </w:pPr>
            <w:r>
              <w:t>宗教中国化示范场所创建提升费用</w:t>
            </w:r>
          </w:p>
        </w:tc>
        <w:tc>
          <w:tcPr>
            <w:tcW w:w="2268" w:type="dxa"/>
            <w:vAlign w:val="center"/>
          </w:tcPr>
          <w:p>
            <w:pPr>
              <w:pStyle w:val="13"/>
            </w:pPr>
            <w:r>
              <w:t>≤10000元/个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日常办公支出及系统维护</w:t>
            </w:r>
          </w:p>
        </w:tc>
        <w:tc>
          <w:tcPr>
            <w:tcW w:w="5386" w:type="dxa"/>
            <w:vAlign w:val="center"/>
          </w:tcPr>
          <w:p>
            <w:pPr>
              <w:pStyle w:val="13"/>
            </w:pPr>
            <w:r>
              <w:t>办公用品、视频监控系统维护</w:t>
            </w:r>
          </w:p>
        </w:tc>
        <w:tc>
          <w:tcPr>
            <w:tcW w:w="2268" w:type="dxa"/>
            <w:vAlign w:val="center"/>
          </w:tcPr>
          <w:p>
            <w:pPr>
              <w:pStyle w:val="13"/>
            </w:pPr>
            <w:r>
              <w:t>1年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日常办公支出及系统维护费用</w:t>
            </w:r>
          </w:p>
        </w:tc>
        <w:tc>
          <w:tcPr>
            <w:tcW w:w="5386" w:type="dxa"/>
            <w:vAlign w:val="center"/>
          </w:tcPr>
          <w:p>
            <w:pPr>
              <w:pStyle w:val="13"/>
            </w:pPr>
            <w:r>
              <w:t>日常办公支出及系统维护费用</w:t>
            </w:r>
          </w:p>
        </w:tc>
        <w:tc>
          <w:tcPr>
            <w:tcW w:w="2268" w:type="dxa"/>
            <w:vAlign w:val="center"/>
          </w:tcPr>
          <w:p>
            <w:pPr>
              <w:pStyle w:val="13"/>
            </w:pPr>
            <w:r>
              <w:t>≤20000元/年</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民族团结进步示范点位创建</w:t>
            </w:r>
          </w:p>
        </w:tc>
        <w:tc>
          <w:tcPr>
            <w:tcW w:w="5386" w:type="dxa"/>
            <w:vAlign w:val="center"/>
          </w:tcPr>
          <w:p>
            <w:pPr>
              <w:pStyle w:val="13"/>
            </w:pPr>
            <w:r>
              <w:t>民族团结进步示范点位创建数量</w:t>
            </w:r>
          </w:p>
        </w:tc>
        <w:tc>
          <w:tcPr>
            <w:tcW w:w="2268" w:type="dxa"/>
            <w:vAlign w:val="center"/>
          </w:tcPr>
          <w:p>
            <w:pPr>
              <w:pStyle w:val="13"/>
            </w:pPr>
            <w:r>
              <w:t>≥2个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民族团结进步示范点位创建成本</w:t>
            </w:r>
          </w:p>
        </w:tc>
        <w:tc>
          <w:tcPr>
            <w:tcW w:w="5386" w:type="dxa"/>
            <w:vAlign w:val="center"/>
          </w:tcPr>
          <w:p>
            <w:pPr>
              <w:pStyle w:val="13"/>
            </w:pPr>
            <w:r>
              <w:t>民族团结进步示范点位创建成本</w:t>
            </w:r>
          </w:p>
        </w:tc>
        <w:tc>
          <w:tcPr>
            <w:tcW w:w="2268" w:type="dxa"/>
            <w:vAlign w:val="center"/>
          </w:tcPr>
          <w:p>
            <w:pPr>
              <w:pStyle w:val="13"/>
            </w:pPr>
            <w:r>
              <w:t>≤10000元/个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民族团结进步宣传活动开展次数</w:t>
            </w:r>
          </w:p>
        </w:tc>
        <w:tc>
          <w:tcPr>
            <w:tcW w:w="5386" w:type="dxa"/>
            <w:vAlign w:val="center"/>
          </w:tcPr>
          <w:p>
            <w:pPr>
              <w:pStyle w:val="13"/>
            </w:pPr>
            <w:r>
              <w:t>开展各类宣传活动次数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及时完成“民族团结进步宣传月”活动开展</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民族团结进步宣传活动成本</w:t>
            </w:r>
          </w:p>
        </w:tc>
        <w:tc>
          <w:tcPr>
            <w:tcW w:w="5386" w:type="dxa"/>
            <w:vAlign w:val="center"/>
          </w:tcPr>
          <w:p>
            <w:pPr>
              <w:pStyle w:val="13"/>
            </w:pPr>
            <w:r>
              <w:t>开展宣传活动成本</w:t>
            </w:r>
          </w:p>
        </w:tc>
        <w:tc>
          <w:tcPr>
            <w:tcW w:w="2268" w:type="dxa"/>
            <w:vAlign w:val="center"/>
          </w:tcPr>
          <w:p>
            <w:pPr>
              <w:pStyle w:val="13"/>
            </w:pPr>
            <w:r>
              <w:t>≤7500元/次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开展民族工作观摩活动</w:t>
            </w:r>
          </w:p>
        </w:tc>
        <w:tc>
          <w:tcPr>
            <w:tcW w:w="5386" w:type="dxa"/>
            <w:vAlign w:val="center"/>
          </w:tcPr>
          <w:p>
            <w:pPr>
              <w:pStyle w:val="13"/>
            </w:pPr>
            <w:r>
              <w:t>民族工作观摩学习次数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观摩活动参与度</w:t>
            </w:r>
          </w:p>
        </w:tc>
        <w:tc>
          <w:tcPr>
            <w:tcW w:w="5386" w:type="dxa"/>
            <w:vAlign w:val="center"/>
          </w:tcPr>
          <w:p>
            <w:pPr>
              <w:pStyle w:val="13"/>
            </w:pPr>
            <w:r>
              <w:t>观摩活动参与人数</w:t>
            </w:r>
          </w:p>
        </w:tc>
        <w:tc>
          <w:tcPr>
            <w:tcW w:w="2268" w:type="dxa"/>
            <w:vAlign w:val="center"/>
          </w:tcPr>
          <w:p>
            <w:pPr>
              <w:pStyle w:val="13"/>
            </w:pPr>
            <w:r>
              <w:t>≥30人</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开展民族工作观摩活动</w:t>
            </w:r>
          </w:p>
        </w:tc>
        <w:tc>
          <w:tcPr>
            <w:tcW w:w="5386" w:type="dxa"/>
            <w:vAlign w:val="center"/>
          </w:tcPr>
          <w:p>
            <w:pPr>
              <w:pStyle w:val="13"/>
            </w:pPr>
            <w:r>
              <w:t>观摩活动成本</w:t>
            </w: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维护宗教领域和谐稳定</w:t>
            </w:r>
          </w:p>
        </w:tc>
        <w:tc>
          <w:tcPr>
            <w:tcW w:w="5386" w:type="dxa"/>
            <w:vAlign w:val="center"/>
          </w:tcPr>
          <w:p>
            <w:pPr>
              <w:pStyle w:val="13"/>
            </w:pPr>
            <w:r>
              <w:t>维护宗教领域和谐稳定</w:t>
            </w:r>
          </w:p>
        </w:tc>
        <w:tc>
          <w:tcPr>
            <w:tcW w:w="2268" w:type="dxa"/>
            <w:vAlign w:val="center"/>
          </w:tcPr>
          <w:p>
            <w:pPr>
              <w:pStyle w:val="13"/>
            </w:pPr>
            <w:r>
              <w:t>防范化解做风险隐患，切实维护宗教领域的和谐稳定。</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提升民族事务治理水平，推进民族团结进步创建工作</w:t>
            </w:r>
          </w:p>
        </w:tc>
        <w:tc>
          <w:tcPr>
            <w:tcW w:w="5386" w:type="dxa"/>
            <w:vAlign w:val="center"/>
          </w:tcPr>
          <w:p>
            <w:pPr>
              <w:pStyle w:val="13"/>
            </w:pPr>
            <w:r>
              <w:t>提升民族事务治理水平，推进民族团结进步创建工作</w:t>
            </w:r>
          </w:p>
        </w:tc>
        <w:tc>
          <w:tcPr>
            <w:tcW w:w="2268" w:type="dxa"/>
            <w:vAlign w:val="center"/>
          </w:tcPr>
          <w:p>
            <w:pPr>
              <w:pStyle w:val="13"/>
            </w:pPr>
            <w:r>
              <w:t>切实保障民族团结进步，民族工作高质量发展。</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参加培训人员对培训效果满意率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4、2025年数字统战平台建设费绩效目标表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13011025P00322710033E</w:t>
            </w:r>
          </w:p>
        </w:tc>
        <w:tc>
          <w:tcPr>
            <w:tcW w:w="2835" w:type="dxa"/>
            <w:vAlign w:val="center"/>
          </w:tcPr>
          <w:p>
            <w:pPr>
              <w:pStyle w:val="11"/>
            </w:pPr>
            <w:r>
              <w:t>项目名称</w:t>
            </w:r>
          </w:p>
        </w:tc>
        <w:tc>
          <w:tcPr>
            <w:tcW w:w="6095" w:type="dxa"/>
            <w:gridSpan w:val="3"/>
            <w:vAlign w:val="center"/>
          </w:tcPr>
          <w:p>
            <w:pPr>
              <w:pStyle w:val="13"/>
            </w:pPr>
            <w:r>
              <w:t>2025年数字统战平台建设费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依托专业的数字化建设和运维团队提供技术支持，充分运用云计算、大数据技术，打造数字统战平台，推动统战工作全方位提档升级。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1.依托专业的数字化建设和运维团队提供技术支持，充分运用云计算、大数据技术，打造数字统战平台，推动统战工作全方位提档升级。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建设统战工作数字化平台的数量</w:t>
            </w:r>
          </w:p>
        </w:tc>
        <w:tc>
          <w:tcPr>
            <w:tcW w:w="5386" w:type="dxa"/>
            <w:vAlign w:val="center"/>
          </w:tcPr>
          <w:p>
            <w:pPr>
              <w:pStyle w:val="13"/>
            </w:pPr>
            <w:r>
              <w:t>建设统战工作数字化平台</w:t>
            </w:r>
          </w:p>
        </w:tc>
        <w:tc>
          <w:tcPr>
            <w:tcW w:w="2268" w:type="dxa"/>
            <w:vAlign w:val="center"/>
          </w:tcPr>
          <w:p>
            <w:pPr>
              <w:pStyle w:val="13"/>
            </w:pPr>
            <w:r>
              <w:t>1个</w:t>
            </w:r>
          </w:p>
        </w:tc>
        <w:tc>
          <w:tcPr>
            <w:tcW w:w="1276" w:type="dxa"/>
            <w:vAlign w:val="center"/>
          </w:tcPr>
          <w:p>
            <w:pPr>
              <w:pStyle w:val="13"/>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统战工作数字化平台年度维护管理费</w:t>
            </w:r>
          </w:p>
        </w:tc>
        <w:tc>
          <w:tcPr>
            <w:tcW w:w="5386" w:type="dxa"/>
            <w:vAlign w:val="center"/>
          </w:tcPr>
          <w:p>
            <w:pPr>
              <w:pStyle w:val="13"/>
            </w:pPr>
            <w:r>
              <w:t>统战工作数字化平台日常管理维护</w:t>
            </w:r>
          </w:p>
        </w:tc>
        <w:tc>
          <w:tcPr>
            <w:tcW w:w="2268" w:type="dxa"/>
            <w:vAlign w:val="center"/>
          </w:tcPr>
          <w:p>
            <w:pPr>
              <w:pStyle w:val="13"/>
            </w:pPr>
            <w:r>
              <w:t>1个</w:t>
            </w:r>
          </w:p>
        </w:tc>
        <w:tc>
          <w:tcPr>
            <w:tcW w:w="1276" w:type="dxa"/>
            <w:vAlign w:val="center"/>
          </w:tcPr>
          <w:p>
            <w:pPr>
              <w:pStyle w:val="13"/>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数字平台建设完成率</w:t>
            </w:r>
          </w:p>
        </w:tc>
        <w:tc>
          <w:tcPr>
            <w:tcW w:w="5386" w:type="dxa"/>
            <w:vAlign w:val="center"/>
          </w:tcPr>
          <w:p>
            <w:pPr>
              <w:pStyle w:val="13"/>
            </w:pPr>
            <w:r>
              <w:t>数字平台建设完成率</w:t>
            </w:r>
          </w:p>
        </w:tc>
        <w:tc>
          <w:tcPr>
            <w:tcW w:w="2268" w:type="dxa"/>
            <w:vAlign w:val="center"/>
          </w:tcPr>
          <w:p>
            <w:pPr>
              <w:pStyle w:val="13"/>
            </w:pPr>
            <w:r>
              <w:t>100%</w:t>
            </w:r>
          </w:p>
        </w:tc>
        <w:tc>
          <w:tcPr>
            <w:tcW w:w="1276" w:type="dxa"/>
            <w:vAlign w:val="center"/>
          </w:tcPr>
          <w:p>
            <w:pPr>
              <w:pStyle w:val="13"/>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数字平台建设成本</w:t>
            </w:r>
          </w:p>
        </w:tc>
        <w:tc>
          <w:tcPr>
            <w:tcW w:w="5386" w:type="dxa"/>
            <w:vAlign w:val="center"/>
          </w:tcPr>
          <w:p>
            <w:pPr>
              <w:pStyle w:val="13"/>
            </w:pPr>
            <w:r>
              <w:t>数字平台建设成本</w:t>
            </w:r>
          </w:p>
        </w:tc>
        <w:tc>
          <w:tcPr>
            <w:tcW w:w="2268" w:type="dxa"/>
            <w:vAlign w:val="center"/>
          </w:tcPr>
          <w:p>
            <w:pPr>
              <w:pStyle w:val="13"/>
            </w:pPr>
            <w:r>
              <w:t>≤14万元</w:t>
            </w:r>
          </w:p>
        </w:tc>
        <w:tc>
          <w:tcPr>
            <w:tcW w:w="1276" w:type="dxa"/>
            <w:vAlign w:val="center"/>
          </w:tcPr>
          <w:p>
            <w:pPr>
              <w:pStyle w:val="13"/>
            </w:pPr>
            <w:r>
              <w:t>申请统战平台建设经费和运营维护费共29万的请示、区领导指示及2024年财政拨付15万的凭证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数字平台维护成本</w:t>
            </w:r>
          </w:p>
        </w:tc>
        <w:tc>
          <w:tcPr>
            <w:tcW w:w="5386" w:type="dxa"/>
            <w:vAlign w:val="center"/>
          </w:tcPr>
          <w:p>
            <w:pPr>
              <w:pStyle w:val="13"/>
            </w:pPr>
            <w:r>
              <w:t>数字平台维护成本</w:t>
            </w:r>
          </w:p>
        </w:tc>
        <w:tc>
          <w:tcPr>
            <w:tcW w:w="2268" w:type="dxa"/>
            <w:vAlign w:val="center"/>
          </w:tcPr>
          <w:p>
            <w:pPr>
              <w:pStyle w:val="13"/>
            </w:pPr>
            <w:r>
              <w:t>≤2万元</w:t>
            </w:r>
          </w:p>
        </w:tc>
        <w:tc>
          <w:tcPr>
            <w:tcW w:w="1276" w:type="dxa"/>
            <w:vAlign w:val="center"/>
          </w:tcPr>
          <w:p>
            <w:pPr>
              <w:pStyle w:val="13"/>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5386" w:type="dxa"/>
            <w:vAlign w:val="center"/>
          </w:tcPr>
          <w:p>
            <w:pPr>
              <w:pStyle w:val="13"/>
            </w:pPr>
            <w:r>
              <w:t>持续发挥作用力</w:t>
            </w:r>
          </w:p>
        </w:tc>
        <w:tc>
          <w:tcPr>
            <w:tcW w:w="2268" w:type="dxa"/>
            <w:vAlign w:val="center"/>
          </w:tcPr>
          <w:p>
            <w:pPr>
              <w:pStyle w:val="13"/>
            </w:pPr>
            <w:r>
              <w:t>推动统战工作全方位提档升级</w:t>
            </w:r>
          </w:p>
        </w:tc>
        <w:tc>
          <w:tcPr>
            <w:tcW w:w="1276" w:type="dxa"/>
            <w:vAlign w:val="center"/>
          </w:tcPr>
          <w:p>
            <w:pPr>
              <w:pStyle w:val="13"/>
            </w:pPr>
            <w:r>
              <w:t>申请统战平台建设经费的请示及区领导指示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申请统战平台建设经费的请示及区领导指示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5、2025年台侨工作经费绩效目标表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13011025P00322710030K</w:t>
            </w:r>
          </w:p>
        </w:tc>
        <w:tc>
          <w:tcPr>
            <w:tcW w:w="2835" w:type="dxa"/>
            <w:vAlign w:val="center"/>
          </w:tcPr>
          <w:p>
            <w:pPr>
              <w:pStyle w:val="11"/>
            </w:pPr>
            <w:r>
              <w:t>项目名称</w:t>
            </w:r>
          </w:p>
        </w:tc>
        <w:tc>
          <w:tcPr>
            <w:tcW w:w="6095" w:type="dxa"/>
            <w:gridSpan w:val="3"/>
            <w:vAlign w:val="center"/>
          </w:tcPr>
          <w:p>
            <w:pPr>
              <w:pStyle w:val="13"/>
            </w:pPr>
            <w:r>
              <w:t>2025年台侨工作经费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印制发放宣传法规政策有关资料，全年开展3次以上台侨工作座谈会及培训班，平均成本6000元/次，加强对台和对海外的统战政策宣传工作，进行思想政治引导；走访慰问台属、归侨侨眷2次以上，平均成本1500元/次；建设全区侨胞之家5个，经费5000元/个，宣传侨法等1次2000元，开展联谊会1次，经费3000元。开展为侨服务活动，加强对外交流合作，加强为台侨服务意识，共计预算5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印制发放宣传法规政策有关资料，全年开展3次以上台侨工作座谈会及培训班，平均成本6000元/次，加强对台和对海外的统战政策宣传工作，进行思想政治引导；走访慰问台属、归侨侨眷2次以上，平均成本1500元/次；建设全区侨胞之家5个，经费5000元/个，宣传侨法等1次2000元，开展联谊会1次，经费3000元。开展为侨服务活动，加强对外交流合作，加强为台侨服务意识，共计预算5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台侨培训班座谈会数量</w:t>
            </w:r>
          </w:p>
        </w:tc>
        <w:tc>
          <w:tcPr>
            <w:tcW w:w="5386" w:type="dxa"/>
            <w:vAlign w:val="center"/>
          </w:tcPr>
          <w:p>
            <w:pPr>
              <w:pStyle w:val="13"/>
            </w:pPr>
            <w:r>
              <w:t>全年开展台侨工作相关培训班座谈会次数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所有工作任务完成及时率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台侨工作相关培训班平均成本</w:t>
            </w:r>
          </w:p>
        </w:tc>
        <w:tc>
          <w:tcPr>
            <w:tcW w:w="2268" w:type="dxa"/>
            <w:vAlign w:val="center"/>
          </w:tcPr>
          <w:p>
            <w:pPr>
              <w:pStyle w:val="13"/>
            </w:pPr>
            <w:r>
              <w:t>≤6000元/次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培训参与率</w:t>
            </w:r>
          </w:p>
        </w:tc>
        <w:tc>
          <w:tcPr>
            <w:tcW w:w="5386" w:type="dxa"/>
            <w:vAlign w:val="center"/>
          </w:tcPr>
          <w:p>
            <w:pPr>
              <w:pStyle w:val="13"/>
            </w:pPr>
            <w:r>
              <w:t>参加台侨培训人数占应参加培训人数的比例</w:t>
            </w: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慰问台侨侨眷次数</w:t>
            </w:r>
          </w:p>
        </w:tc>
        <w:tc>
          <w:tcPr>
            <w:tcW w:w="5386" w:type="dxa"/>
            <w:vAlign w:val="center"/>
          </w:tcPr>
          <w:p>
            <w:pPr>
              <w:pStyle w:val="13"/>
            </w:pPr>
            <w:r>
              <w:t>走访慰问台侨侨眷次数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慰问成本</w:t>
            </w:r>
          </w:p>
        </w:tc>
        <w:tc>
          <w:tcPr>
            <w:tcW w:w="5386" w:type="dxa"/>
            <w:vAlign w:val="center"/>
          </w:tcPr>
          <w:p>
            <w:pPr>
              <w:pStyle w:val="13"/>
            </w:pPr>
            <w:r>
              <w:t>走访慰问次平均成本</w:t>
            </w:r>
          </w:p>
        </w:tc>
        <w:tc>
          <w:tcPr>
            <w:tcW w:w="2268" w:type="dxa"/>
            <w:vAlign w:val="center"/>
          </w:tcPr>
          <w:p>
            <w:pPr>
              <w:pStyle w:val="13"/>
            </w:pPr>
            <w:r>
              <w:t>≤1500元/次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慰问台侨侨眷数量</w:t>
            </w:r>
          </w:p>
        </w:tc>
        <w:tc>
          <w:tcPr>
            <w:tcW w:w="5386" w:type="dxa"/>
            <w:vAlign w:val="center"/>
          </w:tcPr>
          <w:p>
            <w:pPr>
              <w:pStyle w:val="13"/>
            </w:pPr>
            <w:r>
              <w:t>每次走访慰问台侨侨眷户数</w:t>
            </w:r>
          </w:p>
        </w:tc>
        <w:tc>
          <w:tcPr>
            <w:tcW w:w="2268" w:type="dxa"/>
            <w:vAlign w:val="center"/>
          </w:tcPr>
          <w:p>
            <w:pPr>
              <w:pStyle w:val="13"/>
            </w:pPr>
            <w:r>
              <w:t>≥3户</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侨胞之家建设数量</w:t>
            </w:r>
          </w:p>
        </w:tc>
        <w:tc>
          <w:tcPr>
            <w:tcW w:w="5386" w:type="dxa"/>
            <w:vAlign w:val="center"/>
          </w:tcPr>
          <w:p>
            <w:pPr>
              <w:pStyle w:val="13"/>
            </w:pPr>
            <w:r>
              <w:t>建设侨胞之家个数</w:t>
            </w:r>
          </w:p>
        </w:tc>
        <w:tc>
          <w:tcPr>
            <w:tcW w:w="2268" w:type="dxa"/>
            <w:vAlign w:val="center"/>
          </w:tcPr>
          <w:p>
            <w:pPr>
              <w:pStyle w:val="13"/>
            </w:pPr>
            <w:r>
              <w:t>5个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建设成本</w:t>
            </w:r>
          </w:p>
        </w:tc>
        <w:tc>
          <w:tcPr>
            <w:tcW w:w="5386" w:type="dxa"/>
            <w:vAlign w:val="center"/>
          </w:tcPr>
          <w:p>
            <w:pPr>
              <w:pStyle w:val="13"/>
            </w:pPr>
            <w:r>
              <w:t>建设侨胞之家平均成本</w:t>
            </w:r>
          </w:p>
        </w:tc>
        <w:tc>
          <w:tcPr>
            <w:tcW w:w="2268" w:type="dxa"/>
            <w:vAlign w:val="center"/>
          </w:tcPr>
          <w:p>
            <w:pPr>
              <w:pStyle w:val="13"/>
            </w:pPr>
            <w:r>
              <w:t>≤5000元/个</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召开侨联二届三次全会数量</w:t>
            </w:r>
          </w:p>
        </w:tc>
        <w:tc>
          <w:tcPr>
            <w:tcW w:w="5386" w:type="dxa"/>
            <w:vAlign w:val="center"/>
          </w:tcPr>
          <w:p>
            <w:pPr>
              <w:pStyle w:val="13"/>
            </w:pPr>
            <w:r>
              <w:t>召开侨联二届三次全会次数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会议成本</w:t>
            </w:r>
          </w:p>
        </w:tc>
        <w:tc>
          <w:tcPr>
            <w:tcW w:w="5386" w:type="dxa"/>
            <w:vAlign w:val="center"/>
          </w:tcPr>
          <w:p>
            <w:pPr>
              <w:pStyle w:val="13"/>
            </w:pPr>
            <w:r>
              <w:t>召开会议场地、资料、用餐等成本</w:t>
            </w: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会议参与率</w:t>
            </w:r>
          </w:p>
        </w:tc>
        <w:tc>
          <w:tcPr>
            <w:tcW w:w="5386" w:type="dxa"/>
            <w:vAlign w:val="center"/>
          </w:tcPr>
          <w:p>
            <w:pPr>
              <w:pStyle w:val="13"/>
            </w:pPr>
            <w:r>
              <w:t>参加侨代表人数占应参加代表人数的比例</w:t>
            </w:r>
          </w:p>
          <w:p>
            <w:pPr>
              <w:pStyle w:val="13"/>
            </w:pP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召开侨联联谊会及实地参观教学、开展爱国主义教育数量</w:t>
            </w:r>
          </w:p>
        </w:tc>
        <w:tc>
          <w:tcPr>
            <w:tcW w:w="5386" w:type="dxa"/>
            <w:vAlign w:val="center"/>
          </w:tcPr>
          <w:p>
            <w:pPr>
              <w:pStyle w:val="13"/>
            </w:pPr>
            <w:r>
              <w:t>召开侨联二届三次全会及实地参观教学、开展爱国主义教育数量次数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联谊会成本</w:t>
            </w:r>
          </w:p>
        </w:tc>
        <w:tc>
          <w:tcPr>
            <w:tcW w:w="5386" w:type="dxa"/>
            <w:vAlign w:val="center"/>
          </w:tcPr>
          <w:p>
            <w:pPr>
              <w:pStyle w:val="13"/>
            </w:pPr>
            <w:r>
              <w:t>召开会议场地、宣传展板等成本</w:t>
            </w:r>
          </w:p>
        </w:tc>
        <w:tc>
          <w:tcPr>
            <w:tcW w:w="2268" w:type="dxa"/>
            <w:vAlign w:val="center"/>
          </w:tcPr>
          <w:p>
            <w:pPr>
              <w:pStyle w:val="13"/>
            </w:pPr>
            <w:r>
              <w:t>≤3000元/次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联谊会参与率</w:t>
            </w:r>
          </w:p>
        </w:tc>
        <w:tc>
          <w:tcPr>
            <w:tcW w:w="5386" w:type="dxa"/>
            <w:vAlign w:val="center"/>
          </w:tcPr>
          <w:p>
            <w:pPr>
              <w:pStyle w:val="13"/>
            </w:pPr>
            <w:r>
              <w:t>参加侨代表人数占应参加代表人数的比例</w:t>
            </w:r>
          </w:p>
          <w:p>
            <w:pPr>
              <w:pStyle w:val="13"/>
            </w:pPr>
          </w:p>
        </w:tc>
        <w:tc>
          <w:tcPr>
            <w:tcW w:w="2268" w:type="dxa"/>
            <w:vAlign w:val="center"/>
          </w:tcPr>
          <w:p>
            <w:pPr>
              <w:pStyle w:val="13"/>
            </w:pPr>
            <w:r>
              <w:t>≥90%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《中华人民共和国归侨侨眷权益保护法》及其实施细则宣传，普及相关法律次数</w:t>
            </w:r>
          </w:p>
        </w:tc>
        <w:tc>
          <w:tcPr>
            <w:tcW w:w="5386" w:type="dxa"/>
            <w:vAlign w:val="center"/>
          </w:tcPr>
          <w:p>
            <w:pPr>
              <w:pStyle w:val="13"/>
            </w:pPr>
            <w:r>
              <w:t>侨法及相关法律宣传次数</w:t>
            </w:r>
          </w:p>
        </w:tc>
        <w:tc>
          <w:tcPr>
            <w:tcW w:w="2268" w:type="dxa"/>
            <w:vAlign w:val="center"/>
          </w:tcPr>
          <w:p>
            <w:pPr>
              <w:pStyle w:val="13"/>
            </w:pPr>
            <w:r>
              <w:t>1次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普法宣传成本</w:t>
            </w:r>
          </w:p>
        </w:tc>
        <w:tc>
          <w:tcPr>
            <w:tcW w:w="5386" w:type="dxa"/>
            <w:vAlign w:val="center"/>
          </w:tcPr>
          <w:p>
            <w:pPr>
              <w:pStyle w:val="13"/>
            </w:pPr>
            <w:r>
              <w:t>印发宣传展板、宣传页、开展宣传活动等成本</w:t>
            </w:r>
          </w:p>
        </w:tc>
        <w:tc>
          <w:tcPr>
            <w:tcW w:w="2268" w:type="dxa"/>
            <w:vAlign w:val="center"/>
          </w:tcPr>
          <w:p>
            <w:pPr>
              <w:pStyle w:val="13"/>
            </w:pPr>
            <w:r>
              <w:t>≤2000元/次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社会影响力</w:t>
            </w:r>
          </w:p>
        </w:tc>
        <w:tc>
          <w:tcPr>
            <w:tcW w:w="5386" w:type="dxa"/>
            <w:vAlign w:val="center"/>
          </w:tcPr>
          <w:p>
            <w:pPr>
              <w:pStyle w:val="13"/>
            </w:pPr>
            <w:r>
              <w:t>通过宣传加强了对台和对海外的影响力，做好港澳台侨海外各界人士 的思想政治引领，做好为侨服务工作。</w:t>
            </w:r>
          </w:p>
        </w:tc>
        <w:tc>
          <w:tcPr>
            <w:tcW w:w="2268" w:type="dxa"/>
            <w:vAlign w:val="center"/>
          </w:tcPr>
          <w:p>
            <w:pPr>
              <w:pStyle w:val="13"/>
            </w:pPr>
            <w:r>
              <w:t>通过印制发放宣传资料等方式，加强对台和对海外的统战政策宣传工作；走访慰问台侨侨眷；举办台侨相关培训班，进行思想政治引导，增强交流合作、加强为台侨服务意识。</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归侨侨眷等台侨工作对象，被慰问人员满意度</w:t>
            </w:r>
          </w:p>
        </w:tc>
        <w:tc>
          <w:tcPr>
            <w:tcW w:w="5386" w:type="dxa"/>
            <w:vAlign w:val="center"/>
          </w:tcPr>
          <w:p>
            <w:pPr>
              <w:pStyle w:val="13"/>
            </w:pPr>
            <w:r>
              <w:t>台侨工作对象及被慰问人员满意度</w:t>
            </w:r>
          </w:p>
        </w:tc>
        <w:tc>
          <w:tcPr>
            <w:tcW w:w="2268" w:type="dxa"/>
            <w:vAlign w:val="center"/>
          </w:tcPr>
          <w:p>
            <w:pPr>
              <w:pStyle w:val="13"/>
            </w:pPr>
            <w:r>
              <w:t>≥95%</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6、2025年统战工作协调机制专项经费绩效目标表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13011025P003227100271</w:t>
            </w:r>
          </w:p>
        </w:tc>
        <w:tc>
          <w:tcPr>
            <w:tcW w:w="2835" w:type="dxa"/>
            <w:vAlign w:val="center"/>
          </w:tcPr>
          <w:p>
            <w:pPr>
              <w:pStyle w:val="11"/>
            </w:pPr>
            <w:r>
              <w:t>项目名称</w:t>
            </w:r>
          </w:p>
        </w:tc>
        <w:tc>
          <w:tcPr>
            <w:tcW w:w="6095" w:type="dxa"/>
            <w:gridSpan w:val="3"/>
            <w:vAlign w:val="center"/>
          </w:tcPr>
          <w:p>
            <w:pPr>
              <w:pStyle w:val="13"/>
            </w:pPr>
            <w:r>
              <w:t>2025年统战工作协调机制专项经费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落实协调联席会机制，召开联席会议及专题会议，组织观摩交流2次，保证党委领导，政府支持，统战部协调抓总体，各部门密切配合，全社会参与统战工作的新机制进一步完善。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1.落实协调联席会机制，召开联席会议及专题会议，组织观摩交流2次，保证党委领导，政府支持，统战部协调抓总体，各部门密切配合，全社会参与统战工作的新机制进一步完善。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观摩交流数量</w:t>
            </w:r>
          </w:p>
        </w:tc>
        <w:tc>
          <w:tcPr>
            <w:tcW w:w="5386" w:type="dxa"/>
            <w:vAlign w:val="center"/>
          </w:tcPr>
          <w:p>
            <w:pPr>
              <w:pStyle w:val="13"/>
            </w:pPr>
            <w:r>
              <w:t>组织观摩交流数量</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观摩交流事项完成率</w:t>
            </w:r>
          </w:p>
        </w:tc>
        <w:tc>
          <w:tcPr>
            <w:tcW w:w="5386" w:type="dxa"/>
            <w:vAlign w:val="center"/>
          </w:tcPr>
          <w:p>
            <w:pPr>
              <w:pStyle w:val="13"/>
            </w:pPr>
            <w:r>
              <w:t>观摩交流事项完成率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观摩交流成本</w:t>
            </w:r>
          </w:p>
        </w:tc>
        <w:tc>
          <w:tcPr>
            <w:tcW w:w="5386" w:type="dxa"/>
            <w:vAlign w:val="center"/>
          </w:tcPr>
          <w:p>
            <w:pPr>
              <w:pStyle w:val="13"/>
            </w:pPr>
            <w:r>
              <w:t>组织观摩交流平均成本</w:t>
            </w:r>
          </w:p>
        </w:tc>
        <w:tc>
          <w:tcPr>
            <w:tcW w:w="2268" w:type="dxa"/>
            <w:vAlign w:val="center"/>
          </w:tcPr>
          <w:p>
            <w:pPr>
              <w:pStyle w:val="13"/>
            </w:pPr>
            <w:r>
              <w:t>≤5000元/次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协调事项完成次数</w:t>
            </w:r>
          </w:p>
        </w:tc>
        <w:tc>
          <w:tcPr>
            <w:tcW w:w="5386" w:type="dxa"/>
            <w:vAlign w:val="center"/>
          </w:tcPr>
          <w:p>
            <w:pPr>
              <w:pStyle w:val="13"/>
            </w:pPr>
            <w:r>
              <w:t>协调事项完成次数</w:t>
            </w:r>
          </w:p>
        </w:tc>
        <w:tc>
          <w:tcPr>
            <w:tcW w:w="2268" w:type="dxa"/>
            <w:vAlign w:val="center"/>
          </w:tcPr>
          <w:p>
            <w:pPr>
              <w:pStyle w:val="13"/>
            </w:pPr>
            <w:r>
              <w:t>≥4次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协调事项资料费用平均成本</w:t>
            </w:r>
          </w:p>
        </w:tc>
        <w:tc>
          <w:tcPr>
            <w:tcW w:w="5386" w:type="dxa"/>
            <w:vAlign w:val="center"/>
          </w:tcPr>
          <w:p>
            <w:pPr>
              <w:pStyle w:val="13"/>
            </w:pPr>
            <w:r>
              <w:t>协调事项资料费用平均成本</w:t>
            </w:r>
          </w:p>
        </w:tc>
        <w:tc>
          <w:tcPr>
            <w:tcW w:w="2268" w:type="dxa"/>
            <w:vAlign w:val="center"/>
          </w:tcPr>
          <w:p>
            <w:pPr>
              <w:pStyle w:val="13"/>
            </w:pPr>
            <w:r>
              <w:t>≤1500元/次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专题会议完成次数</w:t>
            </w:r>
          </w:p>
        </w:tc>
        <w:tc>
          <w:tcPr>
            <w:tcW w:w="5386" w:type="dxa"/>
            <w:vAlign w:val="center"/>
          </w:tcPr>
          <w:p>
            <w:pPr>
              <w:pStyle w:val="13"/>
            </w:pPr>
            <w:r>
              <w:t>专题会议完成次数</w:t>
            </w:r>
          </w:p>
        </w:tc>
        <w:tc>
          <w:tcPr>
            <w:tcW w:w="2268" w:type="dxa"/>
            <w:vAlign w:val="center"/>
          </w:tcPr>
          <w:p>
            <w:pPr>
              <w:pStyle w:val="13"/>
            </w:pPr>
            <w:r>
              <w:t>≥2次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专题会议平均成本</w:t>
            </w:r>
          </w:p>
        </w:tc>
        <w:tc>
          <w:tcPr>
            <w:tcW w:w="5386" w:type="dxa"/>
            <w:vAlign w:val="center"/>
          </w:tcPr>
          <w:p>
            <w:pPr>
              <w:pStyle w:val="13"/>
            </w:pPr>
            <w:r>
              <w:t>专题会议资料费用平均成本</w:t>
            </w:r>
          </w:p>
        </w:tc>
        <w:tc>
          <w:tcPr>
            <w:tcW w:w="2268" w:type="dxa"/>
            <w:vAlign w:val="center"/>
          </w:tcPr>
          <w:p>
            <w:pPr>
              <w:pStyle w:val="13"/>
            </w:pPr>
            <w:r>
              <w:t>≤2500元/次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协调机制会议完成次数</w:t>
            </w:r>
          </w:p>
        </w:tc>
        <w:tc>
          <w:tcPr>
            <w:tcW w:w="5386" w:type="dxa"/>
            <w:vAlign w:val="center"/>
          </w:tcPr>
          <w:p>
            <w:pPr>
              <w:pStyle w:val="13"/>
            </w:pPr>
            <w:r>
              <w:t>党外知识分子和新的社会阶层人士统战工作、民营经济统战工作、宗教工作、民族工作、港澳台和海外统战工作、党外干部选拔培养工作等六项专项工作协调机制会议完成次数</w:t>
            </w:r>
          </w:p>
        </w:tc>
        <w:tc>
          <w:tcPr>
            <w:tcW w:w="2268" w:type="dxa"/>
            <w:vAlign w:val="center"/>
          </w:tcPr>
          <w:p>
            <w:pPr>
              <w:pStyle w:val="13"/>
            </w:pPr>
            <w:r>
              <w:t>≥6次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专项工作协调机制会议成本</w:t>
            </w:r>
          </w:p>
        </w:tc>
        <w:tc>
          <w:tcPr>
            <w:tcW w:w="5386" w:type="dxa"/>
            <w:vAlign w:val="center"/>
          </w:tcPr>
          <w:p>
            <w:pPr>
              <w:pStyle w:val="13"/>
            </w:pPr>
            <w:r>
              <w:t>专项工作协调机制会议资料费</w:t>
            </w:r>
          </w:p>
        </w:tc>
        <w:tc>
          <w:tcPr>
            <w:tcW w:w="2268" w:type="dxa"/>
            <w:vAlign w:val="center"/>
          </w:tcPr>
          <w:p>
            <w:pPr>
              <w:pStyle w:val="13"/>
            </w:pPr>
            <w:r>
              <w:t>≤1500元/次</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持续发展作用力</w:t>
            </w:r>
          </w:p>
        </w:tc>
        <w:tc>
          <w:tcPr>
            <w:tcW w:w="5386" w:type="dxa"/>
            <w:vAlign w:val="center"/>
          </w:tcPr>
          <w:p>
            <w:pPr>
              <w:pStyle w:val="13"/>
            </w:pPr>
            <w:r>
              <w:t>持续发展作用力</w:t>
            </w:r>
          </w:p>
        </w:tc>
        <w:tc>
          <w:tcPr>
            <w:tcW w:w="2268" w:type="dxa"/>
            <w:vAlign w:val="center"/>
          </w:tcPr>
          <w:p>
            <w:pPr>
              <w:pStyle w:val="13"/>
            </w:pPr>
            <w:r>
              <w:t>建立党委领导，政府支持，统战部协调抓总体，各部门密切配合，全社会参与统战工作的新机制。</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≥90%</w:t>
            </w:r>
          </w:p>
        </w:tc>
        <w:tc>
          <w:tcPr>
            <w:tcW w:w="1276"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7、2025年退役军人公益岗工资绩效目标表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13011025P003227100317</w:t>
            </w:r>
          </w:p>
        </w:tc>
        <w:tc>
          <w:tcPr>
            <w:tcW w:w="2835" w:type="dxa"/>
            <w:vAlign w:val="center"/>
          </w:tcPr>
          <w:p>
            <w:pPr>
              <w:pStyle w:val="11"/>
            </w:pPr>
            <w:r>
              <w:t>项目名称</w:t>
            </w:r>
          </w:p>
        </w:tc>
        <w:tc>
          <w:tcPr>
            <w:tcW w:w="6095" w:type="dxa"/>
            <w:gridSpan w:val="3"/>
            <w:vAlign w:val="center"/>
          </w:tcPr>
          <w:p>
            <w:pPr>
              <w:pStyle w:val="13"/>
            </w:pPr>
            <w:r>
              <w:t>2025年退役军人公益岗工资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17.73</w:t>
            </w:r>
          </w:p>
        </w:tc>
        <w:tc>
          <w:tcPr>
            <w:tcW w:w="2835" w:type="dxa"/>
            <w:vAlign w:val="center"/>
          </w:tcPr>
          <w:p>
            <w:pPr>
              <w:pStyle w:val="11"/>
            </w:pPr>
            <w:r>
              <w:t>其中：财政    资金</w:t>
            </w:r>
          </w:p>
        </w:tc>
        <w:tc>
          <w:tcPr>
            <w:tcW w:w="2551" w:type="dxa"/>
            <w:vAlign w:val="center"/>
          </w:tcPr>
          <w:p>
            <w:pPr>
              <w:pStyle w:val="13"/>
            </w:pPr>
            <w:r>
              <w:t>17.73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鹿办文【2017】31号文件，对符合就业困难且符合政府安排工作条件的退役士兵三名，实行</w:t>
            </w:r>
            <w:r>
              <w:rPr>
                <w:rFonts w:hint="eastAsia"/>
                <w:lang w:eastAsia="zh-CN"/>
              </w:rPr>
              <w:t>公益性岗位</w:t>
            </w:r>
            <w:r>
              <w:t>托管安置，帮扶救助到位，加大就业援助工作，实现就业。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1.鹿办文【2017】31号文件，对符合就业困难且符合政府安排工作条件的退役士兵三名，实行</w:t>
            </w:r>
            <w:r>
              <w:rPr>
                <w:rFonts w:hint="eastAsia"/>
                <w:lang w:eastAsia="zh-CN"/>
              </w:rPr>
              <w:t>公益性岗位</w:t>
            </w:r>
            <w:r>
              <w:t>托管安置，帮扶救助到位，加大就业援助工作，实现就业。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退役军人人数</w:t>
            </w:r>
          </w:p>
        </w:tc>
        <w:tc>
          <w:tcPr>
            <w:tcW w:w="5386" w:type="dxa"/>
            <w:vAlign w:val="center"/>
          </w:tcPr>
          <w:p>
            <w:pPr>
              <w:pStyle w:val="13"/>
            </w:pPr>
            <w:r>
              <w:t>安排退役军人人数</w:t>
            </w:r>
          </w:p>
        </w:tc>
        <w:tc>
          <w:tcPr>
            <w:tcW w:w="2268" w:type="dxa"/>
            <w:vAlign w:val="center"/>
          </w:tcPr>
          <w:p>
            <w:pPr>
              <w:pStyle w:val="13"/>
            </w:pPr>
            <w:r>
              <w:t>3人</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工资按时发放完成率</w:t>
            </w:r>
          </w:p>
        </w:tc>
        <w:tc>
          <w:tcPr>
            <w:tcW w:w="5386" w:type="dxa"/>
            <w:vAlign w:val="center"/>
          </w:tcPr>
          <w:p>
            <w:pPr>
              <w:pStyle w:val="13"/>
            </w:pPr>
            <w:r>
              <w:t>按时足额发放工资补的次数占总发的次数</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工资发放准时率</w:t>
            </w:r>
          </w:p>
        </w:tc>
        <w:tc>
          <w:tcPr>
            <w:tcW w:w="5386" w:type="dxa"/>
            <w:vAlign w:val="center"/>
          </w:tcPr>
          <w:p>
            <w:pPr>
              <w:pStyle w:val="13"/>
            </w:pPr>
            <w:r>
              <w:t>工资发放准时率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人均发放水平</w:t>
            </w:r>
          </w:p>
        </w:tc>
        <w:tc>
          <w:tcPr>
            <w:tcW w:w="5386" w:type="dxa"/>
            <w:vAlign w:val="center"/>
          </w:tcPr>
          <w:p>
            <w:pPr>
              <w:pStyle w:val="13"/>
            </w:pPr>
            <w:r>
              <w:t>人均发放水平</w:t>
            </w:r>
          </w:p>
        </w:tc>
        <w:tc>
          <w:tcPr>
            <w:tcW w:w="2268" w:type="dxa"/>
            <w:vAlign w:val="center"/>
          </w:tcPr>
          <w:p>
            <w:pPr>
              <w:pStyle w:val="13"/>
            </w:pPr>
            <w:r>
              <w:t>3人取暖费6600元，工资合计122400元，社保缴费48300元，总计177300元。</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社会保障制度更加公平可持续</w:t>
            </w:r>
          </w:p>
        </w:tc>
        <w:tc>
          <w:tcPr>
            <w:tcW w:w="5386" w:type="dxa"/>
            <w:vAlign w:val="center"/>
          </w:tcPr>
          <w:p>
            <w:pPr>
              <w:pStyle w:val="13"/>
            </w:pPr>
            <w:r>
              <w:t>社会保障制度更加公平可持续</w:t>
            </w:r>
          </w:p>
        </w:tc>
        <w:tc>
          <w:tcPr>
            <w:tcW w:w="2268" w:type="dxa"/>
            <w:vAlign w:val="center"/>
          </w:tcPr>
          <w:p>
            <w:pPr>
              <w:pStyle w:val="13"/>
            </w:pPr>
            <w:r>
              <w:t>实行</w:t>
            </w:r>
            <w:r>
              <w:rPr>
                <w:rFonts w:hint="eastAsia"/>
                <w:lang w:eastAsia="zh-CN"/>
              </w:rPr>
              <w:t>公益性岗位</w:t>
            </w:r>
            <w:r>
              <w:t>托管安置，帮扶救助到位，加大就业援助工作，实现就业。</w:t>
            </w:r>
          </w:p>
        </w:tc>
        <w:tc>
          <w:tcPr>
            <w:tcW w:w="1276" w:type="dxa"/>
            <w:vAlign w:val="center"/>
          </w:tcPr>
          <w:p>
            <w:pPr>
              <w:pStyle w:val="13"/>
            </w:pPr>
            <w:r>
              <w:t>鹿办文【2017】31号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退役安置满意度</w:t>
            </w:r>
          </w:p>
        </w:tc>
        <w:tc>
          <w:tcPr>
            <w:tcW w:w="5386" w:type="dxa"/>
            <w:vAlign w:val="center"/>
          </w:tcPr>
          <w:p>
            <w:pPr>
              <w:pStyle w:val="13"/>
            </w:pPr>
            <w:r>
              <w:t>对退役安置满意度和较满意人数</w:t>
            </w:r>
          </w:p>
        </w:tc>
        <w:tc>
          <w:tcPr>
            <w:tcW w:w="2268" w:type="dxa"/>
            <w:vAlign w:val="center"/>
          </w:tcPr>
          <w:p>
            <w:pPr>
              <w:pStyle w:val="13"/>
            </w:pPr>
            <w:r>
              <w:t>≥90%</w:t>
            </w:r>
          </w:p>
        </w:tc>
        <w:tc>
          <w:tcPr>
            <w:tcW w:w="1276" w:type="dxa"/>
            <w:vAlign w:val="center"/>
          </w:tcPr>
          <w:p>
            <w:pPr>
              <w:pStyle w:val="13"/>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8、下达2024年市级宗教工作补助经费绩效目标表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13011024P003227100234</w:t>
            </w:r>
          </w:p>
        </w:tc>
        <w:tc>
          <w:tcPr>
            <w:tcW w:w="2835" w:type="dxa"/>
            <w:vAlign w:val="center"/>
          </w:tcPr>
          <w:p>
            <w:pPr>
              <w:pStyle w:val="11"/>
            </w:pPr>
            <w:r>
              <w:t>项目名称</w:t>
            </w:r>
          </w:p>
        </w:tc>
        <w:tc>
          <w:tcPr>
            <w:tcW w:w="6095" w:type="dxa"/>
            <w:gridSpan w:val="3"/>
            <w:vAlign w:val="center"/>
          </w:tcPr>
          <w:p>
            <w:pPr>
              <w:pStyle w:val="13"/>
            </w:pPr>
            <w:r>
              <w:t>下达2024年市级宗教工作补助经费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强宗教工作队伍建设及宗教领域排查整治工作，维护宗教领域和谐稳定，资金主要用于宗教培训班，计划开展两期培训班，对我区宗教干部及教职人员开展政策技能培训；对宗教活动场所“双创四进”提档升级。</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强宗教工作队伍建设及宗教领域排查整治工作，维护宗教领域和谐稳定，资金主要用于宗教培训班，计划开展两期培训班，对我区宗教干部及教职人员开展政策技能培训；对宗教活动场所“双创四进”提档升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组织培训班次</w:t>
            </w:r>
          </w:p>
        </w:tc>
        <w:tc>
          <w:tcPr>
            <w:tcW w:w="5386" w:type="dxa"/>
            <w:vAlign w:val="center"/>
          </w:tcPr>
          <w:p>
            <w:pPr>
              <w:pStyle w:val="13"/>
            </w:pPr>
            <w:r>
              <w:t>组织开展培训班次数</w:t>
            </w:r>
          </w:p>
        </w:tc>
        <w:tc>
          <w:tcPr>
            <w:tcW w:w="2268" w:type="dxa"/>
            <w:vAlign w:val="center"/>
          </w:tcPr>
          <w:p>
            <w:pPr>
              <w:pStyle w:val="13"/>
            </w:pPr>
            <w:r>
              <w:t>2期</w:t>
            </w:r>
          </w:p>
        </w:tc>
        <w:tc>
          <w:tcPr>
            <w:tcW w:w="1276" w:type="dxa"/>
            <w:vAlign w:val="center"/>
          </w:tcPr>
          <w:p>
            <w:pPr>
              <w:pStyle w:val="13"/>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宗教中国化示范场所创建</w:t>
            </w:r>
          </w:p>
        </w:tc>
        <w:tc>
          <w:tcPr>
            <w:tcW w:w="5386" w:type="dxa"/>
            <w:vAlign w:val="center"/>
          </w:tcPr>
          <w:p>
            <w:pPr>
              <w:pStyle w:val="13"/>
            </w:pPr>
            <w:r>
              <w:t>牌匾制作数</w:t>
            </w:r>
          </w:p>
        </w:tc>
        <w:tc>
          <w:tcPr>
            <w:tcW w:w="2268" w:type="dxa"/>
            <w:vAlign w:val="center"/>
          </w:tcPr>
          <w:p>
            <w:pPr>
              <w:pStyle w:val="13"/>
            </w:pPr>
            <w:r>
              <w:t>15个</w:t>
            </w:r>
          </w:p>
        </w:tc>
        <w:tc>
          <w:tcPr>
            <w:tcW w:w="1276" w:type="dxa"/>
            <w:vAlign w:val="center"/>
          </w:tcPr>
          <w:p>
            <w:pPr>
              <w:pStyle w:val="13"/>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印发宗教学习宣传资料</w:t>
            </w:r>
          </w:p>
        </w:tc>
        <w:tc>
          <w:tcPr>
            <w:tcW w:w="5386" w:type="dxa"/>
            <w:vAlign w:val="center"/>
          </w:tcPr>
          <w:p>
            <w:pPr>
              <w:pStyle w:val="13"/>
            </w:pPr>
            <w:r>
              <w:t>印发学习宣传资料数量</w:t>
            </w:r>
          </w:p>
        </w:tc>
        <w:tc>
          <w:tcPr>
            <w:tcW w:w="2268" w:type="dxa"/>
            <w:vAlign w:val="center"/>
          </w:tcPr>
          <w:p>
            <w:pPr>
              <w:pStyle w:val="13"/>
            </w:pPr>
            <w:r>
              <w:t>500本</w:t>
            </w:r>
          </w:p>
        </w:tc>
        <w:tc>
          <w:tcPr>
            <w:tcW w:w="1276" w:type="dxa"/>
            <w:vAlign w:val="center"/>
          </w:tcPr>
          <w:p>
            <w:pPr>
              <w:pStyle w:val="13"/>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加强宗教工作干部队伍建设</w:t>
            </w:r>
          </w:p>
        </w:tc>
        <w:tc>
          <w:tcPr>
            <w:tcW w:w="5386" w:type="dxa"/>
            <w:vAlign w:val="center"/>
          </w:tcPr>
          <w:p>
            <w:pPr>
              <w:pStyle w:val="13"/>
            </w:pPr>
            <w:r>
              <w:t>提升宗教事务管理能力</w:t>
            </w:r>
          </w:p>
        </w:tc>
        <w:tc>
          <w:tcPr>
            <w:tcW w:w="2268" w:type="dxa"/>
            <w:vAlign w:val="center"/>
          </w:tcPr>
          <w:p>
            <w:pPr>
              <w:pStyle w:val="13"/>
            </w:pPr>
            <w:r>
              <w:t>切实提高宗教事务管理能力</w:t>
            </w:r>
          </w:p>
        </w:tc>
        <w:tc>
          <w:tcPr>
            <w:tcW w:w="1276" w:type="dxa"/>
            <w:vAlign w:val="center"/>
          </w:tcPr>
          <w:p>
            <w:pPr>
              <w:pStyle w:val="13"/>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培训工作及时完成率</w:t>
            </w:r>
          </w:p>
        </w:tc>
        <w:tc>
          <w:tcPr>
            <w:tcW w:w="5386" w:type="dxa"/>
            <w:vAlign w:val="center"/>
          </w:tcPr>
          <w:p>
            <w:pPr>
              <w:pStyle w:val="13"/>
            </w:pPr>
            <w:r>
              <w:t>培训工作及时完成率</w:t>
            </w:r>
          </w:p>
        </w:tc>
        <w:tc>
          <w:tcPr>
            <w:tcW w:w="2268" w:type="dxa"/>
            <w:vAlign w:val="center"/>
          </w:tcPr>
          <w:p>
            <w:pPr>
              <w:pStyle w:val="13"/>
            </w:pPr>
            <w:r>
              <w:t>100%</w:t>
            </w:r>
          </w:p>
        </w:tc>
        <w:tc>
          <w:tcPr>
            <w:tcW w:w="1276" w:type="dxa"/>
            <w:vAlign w:val="center"/>
          </w:tcPr>
          <w:p>
            <w:pPr>
              <w:pStyle w:val="13"/>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培训成本</w:t>
            </w:r>
          </w:p>
        </w:tc>
        <w:tc>
          <w:tcPr>
            <w:tcW w:w="5386" w:type="dxa"/>
            <w:vAlign w:val="center"/>
          </w:tcPr>
          <w:p>
            <w:pPr>
              <w:pStyle w:val="13"/>
            </w:pPr>
            <w:r>
              <w:t>组织培训班次</w:t>
            </w:r>
          </w:p>
        </w:tc>
        <w:tc>
          <w:tcPr>
            <w:tcW w:w="2268" w:type="dxa"/>
            <w:vAlign w:val="center"/>
          </w:tcPr>
          <w:p>
            <w:pPr>
              <w:pStyle w:val="13"/>
            </w:pPr>
            <w:r>
              <w:t>≤4500元</w:t>
            </w:r>
          </w:p>
        </w:tc>
        <w:tc>
          <w:tcPr>
            <w:tcW w:w="1276" w:type="dxa"/>
            <w:vAlign w:val="center"/>
          </w:tcPr>
          <w:p>
            <w:pPr>
              <w:pStyle w:val="13"/>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牌匾制作费</w:t>
            </w:r>
          </w:p>
        </w:tc>
        <w:tc>
          <w:tcPr>
            <w:tcW w:w="5386" w:type="dxa"/>
            <w:vAlign w:val="center"/>
          </w:tcPr>
          <w:p>
            <w:pPr>
              <w:pStyle w:val="13"/>
            </w:pPr>
            <w:r>
              <w:t>牌匾制作平均费用</w:t>
            </w:r>
          </w:p>
        </w:tc>
        <w:tc>
          <w:tcPr>
            <w:tcW w:w="2268" w:type="dxa"/>
            <w:vAlign w:val="center"/>
          </w:tcPr>
          <w:p>
            <w:pPr>
              <w:pStyle w:val="13"/>
            </w:pPr>
            <w:r>
              <w:t>≤400元</w:t>
            </w:r>
          </w:p>
        </w:tc>
        <w:tc>
          <w:tcPr>
            <w:tcW w:w="1276" w:type="dxa"/>
            <w:vAlign w:val="center"/>
          </w:tcPr>
          <w:p>
            <w:pPr>
              <w:pStyle w:val="13"/>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学习资料印刷费</w:t>
            </w:r>
          </w:p>
        </w:tc>
        <w:tc>
          <w:tcPr>
            <w:tcW w:w="5386" w:type="dxa"/>
            <w:vAlign w:val="center"/>
          </w:tcPr>
          <w:p>
            <w:pPr>
              <w:pStyle w:val="13"/>
            </w:pPr>
            <w:r>
              <w:t>学习资料印刷平均费用</w:t>
            </w:r>
          </w:p>
        </w:tc>
        <w:tc>
          <w:tcPr>
            <w:tcW w:w="2268" w:type="dxa"/>
            <w:vAlign w:val="center"/>
          </w:tcPr>
          <w:p>
            <w:pPr>
              <w:pStyle w:val="13"/>
            </w:pPr>
            <w:r>
              <w:t>≤10元</w:t>
            </w:r>
          </w:p>
        </w:tc>
        <w:tc>
          <w:tcPr>
            <w:tcW w:w="1276" w:type="dxa"/>
            <w:vAlign w:val="center"/>
          </w:tcPr>
          <w:p>
            <w:pPr>
              <w:pStyle w:val="13"/>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持续维护宗教领域和谐稳定</w:t>
            </w:r>
          </w:p>
        </w:tc>
        <w:tc>
          <w:tcPr>
            <w:tcW w:w="2268" w:type="dxa"/>
            <w:vAlign w:val="center"/>
          </w:tcPr>
          <w:p>
            <w:pPr>
              <w:pStyle w:val="13"/>
            </w:pPr>
            <w:r>
              <w:t>维护和保持宗教领域社会和谐稳定</w:t>
            </w:r>
          </w:p>
        </w:tc>
        <w:tc>
          <w:tcPr>
            <w:tcW w:w="1276" w:type="dxa"/>
            <w:vAlign w:val="center"/>
          </w:tcPr>
          <w:p>
            <w:pPr>
              <w:pStyle w:val="13"/>
            </w:pPr>
            <w:r>
              <w:t>石财行[2024]3号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参加培训人员对培训效果满意率</w:t>
            </w:r>
          </w:p>
        </w:tc>
        <w:tc>
          <w:tcPr>
            <w:tcW w:w="2268" w:type="dxa"/>
            <w:vAlign w:val="center"/>
          </w:tcPr>
          <w:p>
            <w:pPr>
              <w:pStyle w:val="13"/>
            </w:pPr>
            <w:r>
              <w:t>≥90%</w:t>
            </w:r>
          </w:p>
        </w:tc>
        <w:tc>
          <w:tcPr>
            <w:tcW w:w="1276" w:type="dxa"/>
            <w:vAlign w:val="center"/>
          </w:tcPr>
          <w:p>
            <w:pPr>
              <w:pStyle w:val="13"/>
            </w:pPr>
            <w:r>
              <w:t>石财行[2024]3号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中共石家庄市鹿泉区委统一战线工作部（含所属单位）上年末固定资产金额为33.81万元（详见下表）。本年度拟购置固定资产总额为0.00万元，已按要求列入政府采购预算，详见政府采购预算表。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213中共石家庄市鹿泉区委统一战线工作部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33.81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6.28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180</w:t>
            </w:r>
          </w:p>
        </w:tc>
        <w:tc>
          <w:tcPr>
            <w:tcW w:w="2835" w:type="dxa"/>
            <w:vAlign w:val="center"/>
          </w:tcPr>
          <w:p>
            <w:pPr>
              <w:pStyle w:val="12"/>
            </w:pPr>
            <w:r>
              <w:t>27.53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5766F9"/>
    <w:rsid w:val="1ED86B87"/>
    <w:rsid w:val="253D0631"/>
    <w:rsid w:val="48A75E7A"/>
    <w:rsid w:val="50AF5D8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45</Pages>
  <TotalTime>10</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2025-02-11T11:05:00Z</dcterms:created>
  <dc:creator>Administrator</dc:creator>
  <cp:lastModifiedBy>Administrator</cp:lastModifiedBy>
  <cp:lastPrinted>2025-02-11T03:15:00Z</cp:lastPrinted>
  <dcterms:modified xsi:type="dcterms:W3CDTF">2025-04-27T02:42:56Z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0CF9099846424B5CB1525727DEBC8B40</vt:lpwstr>
  </property>
</Properties>
</file>